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INFORMACIÓN GENERAL DEL CURSO</w:t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  <w:tblGridChange w:id="0">
          <w:tblGrid>
            <w:gridCol w:w="1809"/>
            <w:gridCol w:w="1418"/>
            <w:gridCol w:w="567"/>
            <w:gridCol w:w="1559"/>
            <w:gridCol w:w="1276"/>
            <w:gridCol w:w="1134"/>
            <w:gridCol w:w="709"/>
            <w:gridCol w:w="567"/>
          </w:tblGrid>
        </w:tblGridChange>
      </w:tblGrid>
      <w:tr>
        <w:trPr>
          <w:trHeight w:val="27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Facultad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Ciencias de la Educación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Fecha de Actualización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Septiembre de 2020</w:t>
            </w:r>
          </w:p>
        </w:tc>
      </w:tr>
      <w:tr>
        <w:trPr>
          <w:trHeight w:val="309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Programa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Licenciatura en Humanidades y Lengua Castellana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Semestre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Primero</w:t>
            </w:r>
          </w:p>
        </w:tc>
      </w:tr>
      <w:tr>
        <w:trPr>
          <w:trHeight w:val="320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Taller de Razonamiento Cuantitativo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Código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30939</w:t>
            </w:r>
          </w:p>
        </w:tc>
      </w:tr>
      <w:tr>
        <w:trPr>
          <w:trHeight w:val="3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Prerrequisitos</w:t>
            </w:r>
          </w:p>
        </w:tc>
        <w:tc>
          <w:tcPr>
            <w:gridSpan w:val="4"/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Ningun0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Créditos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trHeight w:val="224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Nivel de Formación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Técnico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Profesional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Maestría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5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Tecnológico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Especialización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Doctorado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Área de Formación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Básica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Profesional o Disciplinar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Electiva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Tipo de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Teórico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Teórico-práctico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</w:tr>
      <w:tr>
        <w:trPr>
          <w:trHeight w:val="10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Modalidad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Mixta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Horas de Acompañamiento Directo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Presencial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Virtual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ndara" w:cs="Candara" w:eastAsia="Candara" w:hAnsi="Candar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0"/>
                <w:szCs w:val="20"/>
                <w:rtl w:val="0"/>
              </w:rPr>
              <w:t xml:space="preserve">Horas de Trabajo Independiente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center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DESCRIPCIÓN DEL CURSO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1537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6">
            <w:pPr>
              <w:rPr>
                <w:rFonts w:ascii="Candara" w:cs="Candara" w:eastAsia="Candara" w:hAnsi="Candar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612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</w:tblBorders>
              <w:tblLayout w:type="fixed"/>
              <w:tblLook w:val="0000"/>
            </w:tblPr>
            <w:tblGrid>
              <w:gridCol w:w="8612"/>
              <w:tblGridChange w:id="0">
                <w:tblGrid>
                  <w:gridCol w:w="8612"/>
                </w:tblGrid>
              </w:tblGridChange>
            </w:tblGrid>
            <w:tr>
              <w:trPr>
                <w:trHeight w:val="1395" w:hRule="atLeast"/>
              </w:trPr>
              <w:tc>
                <w:tcPr/>
                <w:p w:rsidR="00000000" w:rsidDel="00000000" w:rsidP="00000000" w:rsidRDefault="00000000" w:rsidRPr="00000000" w14:paraId="00000057">
                  <w:pPr>
                    <w:rPr>
                      <w:rFonts w:ascii="Candara" w:cs="Candara" w:eastAsia="Candara" w:hAnsi="Candar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sz w:val="20"/>
                      <w:szCs w:val="20"/>
                      <w:rtl w:val="0"/>
                    </w:rPr>
                    <w:t xml:space="preserve">Este taller es obligatorio y se imparte en el primer semestre de Licenciatura en Matemáticas. Está asignada al programa de Licenciatura en Matemáticas. Tiene una asignación lectiva de 2 créditos que se impartirá a lo largo del curso con una distribución de 4 horas de clase semanal. </w:t>
                  </w:r>
                </w:p>
                <w:p w:rsidR="00000000" w:rsidDel="00000000" w:rsidP="00000000" w:rsidRDefault="00000000" w:rsidRPr="00000000" w14:paraId="00000058">
                  <w:pPr>
                    <w:rPr>
                      <w:rFonts w:ascii="Candara" w:cs="Candara" w:eastAsia="Candara" w:hAnsi="Candar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ndara" w:cs="Candara" w:eastAsia="Candara" w:hAnsi="Candara"/>
                      <w:sz w:val="20"/>
                      <w:szCs w:val="20"/>
                      <w:rtl w:val="0"/>
                    </w:rPr>
                    <w:t xml:space="preserve">Los ejes temáticos de este taller teórico-práctico permitirán al discente desarrollar competencias que les ayudan a interpretar, representar, tomar decisiones y plantear soluciones a la hora de enfrentarse a un problema que debe o puede resolverse de manera cuantitativa. Además, estos ejes temáticos se encuentran asociados en un contexto de acumulación de conocimientos que permiten y facilitan el estudio de algunas asignaturas vistas en el programa.</w:t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JUSTIFICACIÓN DEL CURSO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86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El contenido temático de este taller es esencial pues, según la Resolución 02041 del 3 de febrero de 2016 en el numeral 2.1 literal b), las competencias matemáticas y de razonamiento cuantitativo se  evalúan en las Pruebas Saber Pro con el fin de verificar si estos profesionales de la educación poseen dichos conocimientos y si los pueden aplicar tanto en su cotidianidad como en su desempeño laboral. Y es que las competencias relacionadas con las habilidades matemáticas deben tenerlas todo ciudadano, especialmente un licenciado en matemáticas, para desempeñarse adecuadamente en contextos cotidianos que involucran información de carácter cuantitativo. </w:t>
            </w:r>
          </w:p>
          <w:p w:rsidR="00000000" w:rsidDel="00000000" w:rsidP="00000000" w:rsidRDefault="00000000" w:rsidRPr="00000000" w14:paraId="0000005E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Estas habilidades implican la comprensión, el diseño y la correcta aplicación de métodos, procedimientos y argumentos fundamentados en contenidos matemáticos denominados “genéricos”, por ser contenidos que al utilizarse de manera correcta permiten a los profesionales plantear posiciones críticas, tomar decisiones y generar estrategias cuando se ven enfrentados a información que puede ser o ha sido tratada de manera cuantitativa.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PRÓPOSITO GENERAL DEL CURSO</w:t>
      </w:r>
    </w:p>
    <w:p w:rsidR="00000000" w:rsidDel="00000000" w:rsidP="00000000" w:rsidRDefault="00000000" w:rsidRPr="00000000" w14:paraId="00000061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Son propósitos de este curso: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Aplicar saberes relativos a la matemática tanto en la cotidianidad como en la interpretación de situaciones básicas del futuro profesional de licenciaturas.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Desarrollar habilidades matemáticas relativas a la condición de ser ciudadano, para desempeñarse adecuadamente en contextos cotidianos que involucran información de carácter cuantitativo.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Comprender y diseñar la aplicación de métodos, procedimientos y argumentos fundamentados en contenidos matemáticos denominados “genéricos”, por ser contenidos matemáticos que al utilizarse de manera correcta permiten a los profesionales plantear posiciones críticas, tomar decisiones y generar estrategias cuando se ven enfrentados a información que puede ser o ha sido tratada de manera cuantitativa (ICFES).</w:t>
            </w:r>
          </w:p>
        </w:tc>
      </w:tr>
    </w:tbl>
    <w:p w:rsidR="00000000" w:rsidDel="00000000" w:rsidP="00000000" w:rsidRDefault="00000000" w:rsidRPr="00000000" w14:paraId="00000066">
      <w:pPr>
        <w:rPr>
          <w:rFonts w:ascii="Candara" w:cs="Candara" w:eastAsia="Candara" w:hAnsi="Candar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COMPETENCIA GENERAL DEL CURSO</w:t>
      </w:r>
    </w:p>
    <w:p w:rsidR="00000000" w:rsidDel="00000000" w:rsidP="00000000" w:rsidRDefault="00000000" w:rsidRPr="00000000" w14:paraId="00000068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69">
            <w:pPr>
              <w:rPr>
                <w:rFonts w:ascii="Candara" w:cs="Candara" w:eastAsia="Candara" w:hAnsi="Candara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sz w:val="20"/>
                <w:szCs w:val="20"/>
                <w:rtl w:val="0"/>
              </w:rPr>
              <w:t xml:space="preserve">Al analizar el curso, el estudiante desarrollarán las siguientes competencias: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Manejo del discurso y el uso de herramientas de la matemática, como habilidad para resolver situaciones problema planteadas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Interpretación y manipulación mental y práctica por medios cuantitativos del mundo cotidiano concreto: tanto con números, como con porcentajes, gráficos, tablas, formas y figuras, cifras financieras o aproximaciones estadísticas.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Comprensión de conceptos básicos de las matemáticas para analizar y modelar problemas.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Interpretar e inferir a partir de modelos deducidos bien sean de fórmulas, gráficos o tablas, información matemática de diversas maneras simbólicas, visuales, numéricas y/o verbales.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65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Capacidad para la toma de decisiones y planteo soluciones al enfrentarse a un problema que debe o puede resolverse de manera cuantitativa, realizando estimación y chequeo de las respuestas a problemas matemáticos con miras a establecer su racionabilidad, identificar alternativas y seleccionar los mejores resultados; y el reconocimiento de los límites de los métodos matemáticos y estadísticos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65" w:right="0" w:hanging="360"/>
              <w:jc w:val="both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Utilizar métodos aritméticos, algebraicos, geométricos y estadísticos para solucionar problemas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0" w:hanging="360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PLANEACIÓN DE LAS UNIDADES DE FORMACIÓN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Clases magistrales.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Talleres asistidos.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Presentación y análisis del tema. 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Discusiones grupales sobre el tema.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Exposiciones sobre temas asignados.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Asignación de tareas. 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headerReference r:id="rId7" w:type="default"/>
          <w:pgSz w:h="15840" w:w="12240" w:orient="portrait"/>
          <w:pgMar w:bottom="1418" w:top="1418" w:left="1701" w:right="170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1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1163"/>
        <w:gridCol w:w="709"/>
        <w:gridCol w:w="2409"/>
        <w:gridCol w:w="255"/>
        <w:gridCol w:w="2864"/>
        <w:gridCol w:w="2948"/>
        <w:gridCol w:w="1417"/>
        <w:tblGridChange w:id="0">
          <w:tblGrid>
            <w:gridCol w:w="1384"/>
            <w:gridCol w:w="1163"/>
            <w:gridCol w:w="709"/>
            <w:gridCol w:w="2409"/>
            <w:gridCol w:w="255"/>
            <w:gridCol w:w="2864"/>
            <w:gridCol w:w="2948"/>
            <w:gridCol w:w="1417"/>
          </w:tblGrid>
        </w:tblGridChange>
      </w:tblGrid>
      <w:tr>
        <w:trPr>
          <w:trHeight w:val="514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1.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Aritmética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81">
            <w:pPr>
              <w:ind w:left="135" w:firstLine="0"/>
              <w:jc w:val="both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Uso de herramientas cuantitativas para solucionar problemas que involucre conceptos de aritmética.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de los números en diferentes situaciones, en operaciones, relaciones, propiedades y características </w:t>
            </w:r>
          </w:p>
          <w:p w:rsidR="00000000" w:rsidDel="00000000" w:rsidP="00000000" w:rsidRDefault="00000000" w:rsidRPr="00000000" w14:paraId="0000008C">
            <w:pPr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Porcentajes y problemas de aplicación.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Problemas que involucren reglas de tres simples, directas, inversas y compuestas.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Problemas de interés simple.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1">
            <w:pPr>
              <w:ind w:left="72" w:firstLine="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 propone la siguiente metodología:</w:t>
            </w:r>
          </w:p>
          <w:p w:rsidR="00000000" w:rsidDel="00000000" w:rsidP="00000000" w:rsidRDefault="00000000" w:rsidRPr="00000000" w14:paraId="00000092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Trabajo individual previo de consulta.</w:t>
            </w:r>
          </w:p>
          <w:p w:rsidR="00000000" w:rsidDel="00000000" w:rsidP="00000000" w:rsidRDefault="00000000" w:rsidRPr="00000000" w14:paraId="00000093">
            <w:pPr>
              <w:numPr>
                <w:ilvl w:val="0"/>
                <w:numId w:val="1"/>
              </w:numPr>
              <w:spacing w:after="120" w:before="120" w:line="288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Trabajo en grupos de estudiantes para socializar.</w:t>
            </w:r>
          </w:p>
          <w:p w:rsidR="00000000" w:rsidDel="00000000" w:rsidP="00000000" w:rsidRDefault="00000000" w:rsidRPr="00000000" w14:paraId="00000094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Plenaria.</w:t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Aclaraciones y complementaciones.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mallCaps w:val="1"/>
                <w:color w:val="000000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onsulta de asignación de actividades extraclases en el SICVI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98">
            <w:pPr>
              <w:numPr>
                <w:ilvl w:val="0"/>
                <w:numId w:val="1"/>
              </w:numPr>
              <w:ind w:left="720" w:hanging="36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Utiliza piezas de información y genera representaciones diversas a partir de ellas.</w:t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720" w:hanging="36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Formula o identifica el problema, propone y construye estrategias adecuadas para su solución por medio de modelación matemática y el uso de herramientas cuantitativas y las ejecuta correctamente.</w:t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Argumenta mediante la justificación o refutación de resultados, hipótesis o conclusiones que se derivan de la interpretación y de la modelación de situaciones.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la evaluación de la unidad  se tendrá en cuenta: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Autoevaluación y Evaluación escrita (en el estilo de las pruebas Saber Pro)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Desarrollo de talleres en grupos e individual a través presenciales y haciendo uso del curso complementario virtual a crearse en plataforma SICVI 567</w:t>
            </w:r>
          </w:p>
          <w:p w:rsidR="00000000" w:rsidDel="00000000" w:rsidP="00000000" w:rsidRDefault="00000000" w:rsidRPr="00000000" w14:paraId="000000A0">
            <w:pPr>
              <w:tabs>
                <w:tab w:val="left" w:pos="780"/>
              </w:tabs>
              <w:spacing w:after="120" w:before="120" w:lineRule="auto"/>
              <w:ind w:left="720" w:firstLine="0"/>
              <w:jc w:val="both"/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Candara" w:cs="Candara" w:eastAsia="Candara" w:hAnsi="Candara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1 a la 5</w:t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2.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Nociones de álgebra y geometría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Diseño de planes, estrategias, alternativas y uso de herramientas cuantitativas para la solución de problemas que involucren conceptos básicos de geometría y algebra elemental.</w:t>
            </w:r>
          </w:p>
        </w:tc>
      </w:tr>
      <w:t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de problemas que involucren expresiones algebraicas básicas.</w:t>
            </w:r>
          </w:p>
          <w:p w:rsidR="00000000" w:rsidDel="00000000" w:rsidP="00000000" w:rsidRDefault="00000000" w:rsidRPr="00000000" w14:paraId="000000B3">
            <w:pPr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Problemas que involucren funciones lineales, cuadráticas y exponenciales.</w:t>
            </w:r>
          </w:p>
          <w:p w:rsidR="00000000" w:rsidDel="00000000" w:rsidP="00000000" w:rsidRDefault="00000000" w:rsidRPr="00000000" w14:paraId="000000B5">
            <w:pPr>
              <w:jc w:val="both"/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de las comparaciones y estimaciones con patrones de medida.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Uso de las propiedades y relaciones de las figuras geométricas básicas: planas y sólidas.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Características y propiedades de procesos de transformación y movimientos, en el plano y en el espacio.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B">
            <w:pPr>
              <w:ind w:left="72" w:firstLine="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 propone la siguiente metodología:</w:t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Trabajo individual previo de consulta.</w:t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spacing w:after="120" w:before="120" w:line="288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Trabajo en grupos de estudiantes para socializar.</w:t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Plenaria.</w:t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Aclaraciones y complementaciones.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mallCaps w:val="1"/>
                <w:color w:val="000000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onsulta de asignación de actividades extraclases en el SICVI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ind w:left="350" w:hanging="142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Interpreta piezas de información y genera representaciones diversas a partir de ellas.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ind w:left="350" w:hanging="142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Formula o identifica el problema, propone y construye estrategias adecuadas para su solución por medio de modelación matemática y el uso de herramientas cuantitativas y las ejecuta correctamente.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ind w:left="350" w:hanging="142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Argumenta mediante la justificación o refutación de resultados, hipótesis o conclusiones que se derivan de la interpretación y de la modelación de situaciones.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la evaluación de la unidad  se tendrá en cuenta: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Autoevaluación y Evaluación escrita (en el estilo de las pruebas Saber Pro)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Desarrollo de talleres en grupos e individual a través presenciales y haciendo uso del curso complementario virtual a crearse en plataforma SICVI 567</w:t>
            </w:r>
          </w:p>
          <w:p w:rsidR="00000000" w:rsidDel="00000000" w:rsidP="00000000" w:rsidRDefault="00000000" w:rsidRPr="00000000" w14:paraId="000000C9">
            <w:pPr>
              <w:tabs>
                <w:tab w:val="left" w:pos="780"/>
              </w:tabs>
              <w:spacing w:after="120" w:before="120" w:lineRule="auto"/>
              <w:ind w:left="720" w:firstLine="0"/>
              <w:jc w:val="both"/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6 a la 10</w:t>
            </w:r>
          </w:p>
        </w:tc>
      </w:tr>
    </w:tbl>
    <w:p w:rsidR="00000000" w:rsidDel="00000000" w:rsidP="00000000" w:rsidRDefault="00000000" w:rsidRPr="00000000" w14:paraId="000000CB">
      <w:pPr>
        <w:spacing w:line="288" w:lineRule="auto"/>
        <w:jc w:val="center"/>
        <w:rPr>
          <w:rFonts w:ascii="Candara" w:cs="Candara" w:eastAsia="Candara" w:hAnsi="Candar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14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4"/>
        <w:gridCol w:w="1588"/>
        <w:gridCol w:w="2693"/>
        <w:gridCol w:w="3402"/>
        <w:gridCol w:w="2665"/>
        <w:gridCol w:w="1417"/>
        <w:tblGridChange w:id="0">
          <w:tblGrid>
            <w:gridCol w:w="1384"/>
            <w:gridCol w:w="1588"/>
            <w:gridCol w:w="2693"/>
            <w:gridCol w:w="3402"/>
            <w:gridCol w:w="2665"/>
            <w:gridCol w:w="1417"/>
          </w:tblGrid>
        </w:tblGridChange>
      </w:tblGrid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UNIDAD 3.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Fundamentos de probabilidad y estadística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COMPETENCIA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Uso de herramientas cuantitativas para solucionar problemas que involucre conceptos básicos de probabilidad y estadística.</w:t>
            </w:r>
          </w:p>
        </w:tc>
      </w:tr>
      <w:t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ESTRATEGIA DIDÁCTICA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INDICADORES DE LOGROS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CRITERIOS DE EVALUACIÓN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sz w:val="22"/>
                <w:szCs w:val="22"/>
                <w:rtl w:val="0"/>
              </w:rPr>
              <w:t xml:space="preserve">SEMANA</w:t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Conceptos básicos de probabilidad aplicados en la resolución de problemas. Combinaciones y permutaciones como estrategia en la solución de problemas</w:t>
            </w:r>
          </w:p>
          <w:p w:rsidR="00000000" w:rsidDel="00000000" w:rsidP="00000000" w:rsidRDefault="00000000" w:rsidRPr="00000000" w14:paraId="000000D9">
            <w:pPr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Representaciones gráficas de datos en distintos formatos: circulares, de línea, de dispersión, de barras.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Medidas de tendencia central: media aritmética y moderada, desviación estándar, mediana y moda.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ind w:left="72" w:firstLine="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Se propone la siguiente metodología: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Trabajo individual previo de consulta.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Trabajo en grupos de estudiantes para socializar.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Plenaria.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Aclaraciones y complementaciones.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b w:val="1"/>
                <w:smallCaps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mallCaps w:val="1"/>
                <w:color w:val="000000"/>
                <w:sz w:val="22"/>
                <w:szCs w:val="22"/>
                <w:rtl w:val="0"/>
              </w:rPr>
              <w:t xml:space="preserve">C</w:t>
            </w: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onsulta de asignación de actividades extraclases en el SICVI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numPr>
                <w:ilvl w:val="0"/>
                <w:numId w:val="1"/>
              </w:numPr>
              <w:ind w:left="720" w:hanging="36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Interpreta piezas de información y genera representaciones diversas a partir de ellas.</w:t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1"/>
              </w:numPr>
              <w:ind w:left="720" w:hanging="360"/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Formula o identifica el problema, propone y construye estrategias adecuadas para su solución por medio de modelación matemática y el uso de herramientas cuantitativas y las ejecuta correctamente.</w:t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1"/>
              </w:numPr>
              <w:spacing w:after="120" w:before="120" w:lineRule="auto"/>
              <w:ind w:left="720" w:hanging="360"/>
              <w:jc w:val="both"/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Argumenta mediante la justificación o refutación de resultados, hipótesis o conclusiones que se derivan de la interpretación y de la modelación de situaciones.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Para la evaluación de la unidad  se tendrá en cuenta: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Autoevaluación y Evaluación escrita (en el estilo de las pruebas Saber Pro)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2" w:right="0" w:firstLine="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ndara" w:cs="Candara" w:eastAsia="Candara" w:hAnsi="Candar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Desarrollo de talleres en grupos e individual a través presenciales y haciendo uso del curso complementario virtual a crearse en plataforma SICVI 567</w:t>
            </w:r>
          </w:p>
          <w:p w:rsidR="00000000" w:rsidDel="00000000" w:rsidP="00000000" w:rsidRDefault="00000000" w:rsidRPr="00000000" w14:paraId="000000EB">
            <w:pPr>
              <w:tabs>
                <w:tab w:val="left" w:pos="780"/>
              </w:tabs>
              <w:spacing w:after="120" w:before="120" w:lineRule="auto"/>
              <w:ind w:left="720" w:firstLine="0"/>
              <w:jc w:val="both"/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Candara" w:cs="Candara" w:eastAsia="Candara" w:hAnsi="Candara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sz w:val="22"/>
                <w:szCs w:val="22"/>
                <w:rtl w:val="0"/>
              </w:rPr>
              <w:t xml:space="preserve">11 a la 16</w:t>
            </w:r>
          </w:p>
        </w:tc>
      </w:tr>
    </w:tbl>
    <w:p w:rsidR="00000000" w:rsidDel="00000000" w:rsidP="00000000" w:rsidRDefault="00000000" w:rsidRPr="00000000" w14:paraId="000000ED">
      <w:pPr>
        <w:spacing w:line="288" w:lineRule="auto"/>
        <w:rPr>
          <w:rFonts w:ascii="Candara" w:cs="Candara" w:eastAsia="Candara" w:hAnsi="Candara"/>
          <w:color w:val="000000"/>
          <w:sz w:val="22"/>
          <w:szCs w:val="22"/>
        </w:rPr>
        <w:sectPr>
          <w:headerReference r:id="rId8" w:type="default"/>
          <w:type w:val="nextPage"/>
          <w:pgSz w:h="15840" w:w="12240" w:orient="portrait"/>
          <w:pgMar w:bottom="1701" w:top="1701" w:left="1418" w:right="1418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288" w:lineRule="auto"/>
        <w:rPr>
          <w:rFonts w:ascii="Candara" w:cs="Candara" w:eastAsia="Candara" w:hAnsi="Candar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hanging="426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BÁSICA DEL CURSO</w:t>
      </w:r>
    </w:p>
    <w:p w:rsidR="00000000" w:rsidDel="00000000" w:rsidP="00000000" w:rsidRDefault="00000000" w:rsidRPr="00000000" w14:paraId="000000F0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F1">
            <w:pPr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both"/>
              <w:rPr>
                <w:rFonts w:ascii="Candara" w:cs="Candara" w:eastAsia="Candara" w:hAnsi="Candara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Valbuena D. Sonia. Competencias en Razonamiento cuantitativo: notas de clase, Universidad del Atlántico, 2015.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4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left"/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ndara" w:cs="Candara" w:eastAsia="Candara" w:hAnsi="Candar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COMPLEMENTARIA DEL CURSO</w:t>
      </w:r>
    </w:p>
    <w:p w:rsidR="00000000" w:rsidDel="00000000" w:rsidP="00000000" w:rsidRDefault="00000000" w:rsidRPr="00000000" w14:paraId="000000F6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trHeight w:val="2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F7">
            <w:pPr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Razonamiento cuantitativo: notas de clase, Rojas Álvarez, Carlos, Universidad del Norte, 2014.</w:t>
            </w:r>
          </w:p>
          <w:p w:rsidR="00000000" w:rsidDel="00000000" w:rsidP="00000000" w:rsidRDefault="00000000" w:rsidRPr="00000000" w14:paraId="000000F9">
            <w:pPr>
              <w:rPr>
                <w:rFonts w:ascii="Candara" w:cs="Candara" w:eastAsia="Candara" w:hAnsi="Candar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Candara" w:cs="Candara" w:eastAsia="Candara" w:hAnsi="Candar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000000"/>
                <w:sz w:val="22"/>
                <w:szCs w:val="22"/>
                <w:rtl w:val="0"/>
              </w:rPr>
              <w:t xml:space="preserve">Módulo de Razonamiento Cuantitativo- Saber Pro. ICFES,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type w:val="nextPage"/>
      <w:pgSz w:h="15840" w:w="12240" w:orient="portrait"/>
      <w:pgMar w:bottom="1418" w:top="1418" w:left="1701" w:right="170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Calibri"/>
  <w:font w:name="Arial"/>
  <w:font w:name="Georgia"/>
  <w:font w:name="Times New Roman"/>
  <w:font w:name="Courier New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1"/>
      <w:tblW w:w="12994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8340"/>
      <w:gridCol w:w="4654"/>
      <w:tblGridChange w:id="0">
        <w:tblGrid>
          <w:gridCol w:w="8340"/>
          <w:gridCol w:w="4654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0F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F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0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0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0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2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666"/>
      <w:gridCol w:w="3162"/>
      <w:tblGridChange w:id="0">
        <w:tblGrid>
          <w:gridCol w:w="5666"/>
          <w:gridCol w:w="3162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0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0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3"/>
      <w:tblW w:w="8828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666"/>
      <w:gridCol w:w="3162"/>
      <w:tblGridChange w:id="0">
        <w:tblGrid>
          <w:gridCol w:w="5666"/>
          <w:gridCol w:w="3162"/>
        </w:tblGrid>
      </w:tblGridChange>
    </w:tblGrid>
    <w:tr>
      <w:trPr>
        <w:trHeight w:val="132" w:hRule="atLeast"/>
      </w:trPr>
      <w:tc>
        <w:tcPr>
          <w:vMerge w:val="restart"/>
        </w:tcPr>
        <w:p w:rsidR="00000000" w:rsidDel="00000000" w:rsidP="00000000" w:rsidRDefault="00000000" w:rsidRPr="00000000" w14:paraId="000001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2515</wp:posOffset>
                </wp:positionH>
                <wp:positionV relativeFrom="paragraph">
                  <wp:posOffset>-2387</wp:posOffset>
                </wp:positionV>
                <wp:extent cx="1479894" cy="520595"/>
                <wp:effectExtent b="0" l="0" r="0" t="0"/>
                <wp:wrapSquare wrapText="bothSides" distB="0" distT="0" distL="0" distR="0"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1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: FOR-DO-020</w:t>
          </w:r>
        </w:p>
      </w:tc>
    </w:tr>
    <w:tr>
      <w:trPr>
        <w:trHeight w:val="314" w:hRule="atLeast"/>
      </w:trPr>
      <w:tc>
        <w:tcPr>
          <w:vMerge w:val="continue"/>
        </w:tcPr>
        <w:p w:rsidR="00000000" w:rsidDel="00000000" w:rsidP="00000000" w:rsidRDefault="00000000" w:rsidRPr="00000000" w14:paraId="0000011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VERSION: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01</w:t>
          </w:r>
        </w:p>
      </w:tc>
    </w:tr>
    <w:tr>
      <w:tc>
        <w:tcPr>
          <w:vMerge w:val="continue"/>
        </w:tcPr>
        <w:p w:rsidR="00000000" w:rsidDel="00000000" w:rsidP="00000000" w:rsidRDefault="00000000" w:rsidRPr="00000000" w14:paraId="0000011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1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FECHA:</w:t>
          </w:r>
          <w:r w:rsidDel="00000000" w:rsidR="00000000" w:rsidRPr="00000000">
            <w:rPr>
              <w:rFonts w:ascii="Candara" w:cs="Candara" w:eastAsia="Candara" w:hAnsi="Candara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06/09/2016</w:t>
          </w:r>
        </w:p>
      </w:tc>
    </w:tr>
    <w:tr>
      <w:tc>
        <w:tcPr>
          <w:gridSpan w:val="2"/>
        </w:tcPr>
        <w:p w:rsidR="00000000" w:rsidDel="00000000" w:rsidP="00000000" w:rsidRDefault="00000000" w:rsidRPr="00000000" w14:paraId="000001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ndara" w:cs="Candara" w:eastAsia="Candara" w:hAnsi="Candara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FORMATO CONTENIDO DE CURSO O SÍLABO</w:t>
          </w:r>
        </w:p>
      </w:tc>
    </w:tr>
  </w:tbl>
  <w:p w:rsidR="00000000" w:rsidDel="00000000" w:rsidP="00000000" w:rsidRDefault="00000000" w:rsidRPr="00000000" w14:paraId="000001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omic Sans MS" w:cs="Comic Sans MS" w:eastAsia="Comic Sans MS" w:hAnsi="Comic Sans M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✔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7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ind w:left="360"/>
      <w:jc w:val="both"/>
    </w:pPr>
    <w:rPr>
      <w:rFonts w:ascii="Arial" w:cs="Arial" w:eastAsia="Arial" w:hAnsi="Arial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1D9A"/>
    <w:pPr>
      <w:spacing w:after="0" w:line="240" w:lineRule="auto"/>
    </w:pPr>
    <w:rPr>
      <w:rFonts w:ascii="Comic Sans MS" w:cs="Times New Roman" w:eastAsia="Times" w:hAnsi="Comic Sans MS"/>
      <w:sz w:val="24"/>
      <w:szCs w:val="24"/>
      <w:lang w:eastAsia="es-ES_tradnl" w:val="es-ES_tradnl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FE263E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 w:val="1"/>
    <w:rsid w:val="00B71D9A"/>
    <w:pPr>
      <w:keepNext w:val="1"/>
      <w:tabs>
        <w:tab w:val="num" w:pos="360"/>
      </w:tabs>
      <w:spacing w:line="240" w:lineRule="atLeast"/>
      <w:ind w:left="360"/>
      <w:jc w:val="both"/>
      <w:outlineLvl w:val="3"/>
    </w:pPr>
    <w:rPr>
      <w:rFonts w:ascii="Arial" w:cs="Arial" w:eastAsia="Times New Roman" w:hAnsi="Arial"/>
      <w:lang w:eastAsia="en-GB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99"/>
    <w:qFormat w:val="1"/>
    <w:rsid w:val="00B71D9A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B71D9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 w:val="es-E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 w:customStyle="1">
    <w:name w:val="Default"/>
    <w:rsid w:val="00B71D9A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 w:val="1"/>
    <w:rsid w:val="00B71D9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B71D9A"/>
    <w:rPr>
      <w:rFonts w:ascii="Comic Sans MS" w:cs="Times New Roman" w:eastAsia="Times" w:hAnsi="Comic Sans MS"/>
      <w:sz w:val="24"/>
      <w:szCs w:val="24"/>
      <w:lang w:eastAsia="es-ES_tradnl" w:val="es-ES_tradnl"/>
    </w:rPr>
  </w:style>
  <w:style w:type="paragraph" w:styleId="Textocomentario">
    <w:name w:val="annotation text"/>
    <w:basedOn w:val="Normal"/>
    <w:link w:val="TextocomentarioCar"/>
    <w:uiPriority w:val="99"/>
    <w:unhideWhenUsed w:val="1"/>
    <w:rsid w:val="00B71D9A"/>
    <w:pPr>
      <w:spacing w:after="200"/>
    </w:pPr>
    <w:rPr>
      <w:rFonts w:asciiTheme="minorHAnsi" w:cstheme="minorBidi" w:eastAsiaTheme="minorHAnsi" w:hAnsiTheme="minorHAnsi"/>
      <w:sz w:val="20"/>
      <w:szCs w:val="20"/>
      <w:lang w:eastAsia="en-US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B71D9A"/>
    <w:rPr>
      <w:sz w:val="20"/>
      <w:szCs w:val="20"/>
      <w:lang w:val="es-ES_tradnl"/>
    </w:rPr>
  </w:style>
  <w:style w:type="paragraph" w:styleId="NormalWeb">
    <w:name w:val="Normal (Web)"/>
    <w:basedOn w:val="Normal"/>
    <w:rsid w:val="00B71D9A"/>
    <w:pPr>
      <w:spacing w:after="100" w:afterAutospacing="1" w:before="100" w:beforeAutospacing="1"/>
    </w:pPr>
    <w:rPr>
      <w:rFonts w:ascii="Times New Roman" w:eastAsia="Times New Roman" w:hAnsi="Times New Roman"/>
      <w:lang w:eastAsia="es-ES" w:val="es-ES"/>
    </w:rPr>
  </w:style>
  <w:style w:type="character" w:styleId="Ttulo4Car" w:customStyle="1">
    <w:name w:val="Título 4 Car"/>
    <w:basedOn w:val="Fuentedeprrafopredeter"/>
    <w:link w:val="Ttulo4"/>
    <w:uiPriority w:val="99"/>
    <w:rsid w:val="00B71D9A"/>
    <w:rPr>
      <w:rFonts w:ascii="Arial" w:cs="Arial" w:eastAsia="Times New Roman" w:hAnsi="Arial"/>
      <w:sz w:val="24"/>
      <w:szCs w:val="24"/>
      <w:lang w:eastAsia="en-GB" w:val="es-ES"/>
    </w:rPr>
  </w:style>
  <w:style w:type="paragraph" w:styleId="Textoindependiente">
    <w:name w:val="Body Text"/>
    <w:basedOn w:val="Normal"/>
    <w:link w:val="TextoindependienteCar"/>
    <w:uiPriority w:val="99"/>
    <w:rsid w:val="00FE263E"/>
    <w:pPr>
      <w:spacing w:after="100" w:afterAutospacing="1" w:before="100" w:beforeAutospacing="1"/>
    </w:pPr>
    <w:rPr>
      <w:rFonts w:ascii="Arial Unicode MS" w:cs="Arial Unicode MS" w:eastAsia="Arial Unicode MS" w:hAnsi="Arial Unicode MS"/>
      <w:lang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E263E"/>
    <w:rPr>
      <w:rFonts w:ascii="Arial Unicode MS" w:cs="Arial Unicode MS" w:eastAsia="Arial Unicode MS" w:hAnsi="Arial Unicode MS"/>
      <w:sz w:val="24"/>
      <w:szCs w:val="24"/>
      <w:lang w:eastAsia="es-ES" w:val="es-ES"/>
    </w:rPr>
  </w:style>
  <w:style w:type="character" w:styleId="Ttulo2Car" w:customStyle="1">
    <w:name w:val="Título 2 Car"/>
    <w:basedOn w:val="Fuentedeprrafopredeter"/>
    <w:link w:val="Ttulo2"/>
    <w:uiPriority w:val="99"/>
    <w:semiHidden w:val="1"/>
    <w:rsid w:val="00FE263E"/>
    <w:rPr>
      <w:rFonts w:asciiTheme="majorHAnsi" w:cstheme="majorBidi" w:eastAsiaTheme="majorEastAsia" w:hAnsiTheme="majorHAnsi"/>
      <w:color w:val="2e74b5" w:themeColor="accent1" w:themeShade="0000BF"/>
      <w:sz w:val="26"/>
      <w:szCs w:val="26"/>
      <w:lang w:eastAsia="es-ES_tradnl"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B4033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B4033F"/>
    <w:rPr>
      <w:rFonts w:ascii="Comic Sans MS" w:cs="Times New Roman" w:eastAsia="Times" w:hAnsi="Comic Sans MS"/>
      <w:sz w:val="24"/>
      <w:szCs w:val="24"/>
      <w:lang w:eastAsia="es-ES_tradnl" w:val="es-ES_trad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Wd2aUUVYqs0gXCdGLV/z694dhA==">AMUW2mW+zOrEK0PKEv3FVmthMrvOcKXcqOVU5/K2bXX+zDB7ppapnrRlPDW1nI5CzTZ+TuwEp4o/ct1hZNwGsHIoVW3WgwUtq9ZtPkQMIrg/csChVM9bfb8UqBnvtKAJN03A6q1siizm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2020-07-18T20:48:00Z</dcterms:created>
  <dc:creator>INTEL</dc:creator>
</cp:coreProperties>
</file>