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BF1C" w14:textId="77777777" w:rsidR="005556F7" w:rsidRDefault="00886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INFORMACIÓN GENERAL DEL CURSO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5556F7" w14:paraId="30B670F1" w14:textId="77777777">
        <w:trPr>
          <w:trHeight w:val="274"/>
        </w:trPr>
        <w:tc>
          <w:tcPr>
            <w:tcW w:w="1809" w:type="dxa"/>
            <w:vAlign w:val="center"/>
          </w:tcPr>
          <w:p w14:paraId="5DBD53F6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434AE673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Ciencias de la Educación</w:t>
            </w:r>
          </w:p>
        </w:tc>
        <w:tc>
          <w:tcPr>
            <w:tcW w:w="2410" w:type="dxa"/>
            <w:gridSpan w:val="2"/>
            <w:vAlign w:val="center"/>
          </w:tcPr>
          <w:p w14:paraId="2B779AB4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2676A576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15/10/2020</w:t>
            </w:r>
          </w:p>
        </w:tc>
      </w:tr>
      <w:tr w:rsidR="005556F7" w14:paraId="0EF4F985" w14:textId="77777777">
        <w:trPr>
          <w:trHeight w:val="309"/>
        </w:trPr>
        <w:tc>
          <w:tcPr>
            <w:tcW w:w="1809" w:type="dxa"/>
            <w:shd w:val="clear" w:color="auto" w:fill="F2F2F2"/>
            <w:vAlign w:val="center"/>
          </w:tcPr>
          <w:p w14:paraId="6217958E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14:paraId="3DD157C8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Licenciatura en Humanidades y Lengua Castellana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3215C6A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51E3104B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F7" w14:paraId="4902575B" w14:textId="77777777">
        <w:trPr>
          <w:trHeight w:val="320"/>
        </w:trPr>
        <w:tc>
          <w:tcPr>
            <w:tcW w:w="1809" w:type="dxa"/>
            <w:vAlign w:val="center"/>
          </w:tcPr>
          <w:p w14:paraId="671528D9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820" w:type="dxa"/>
            <w:gridSpan w:val="4"/>
            <w:vAlign w:val="center"/>
          </w:tcPr>
          <w:p w14:paraId="31CCFC40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Taller de competencias comunicativas III</w:t>
            </w:r>
          </w:p>
        </w:tc>
        <w:tc>
          <w:tcPr>
            <w:tcW w:w="1134" w:type="dxa"/>
            <w:vAlign w:val="center"/>
          </w:tcPr>
          <w:p w14:paraId="1FF600EA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3B8DC66F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61479</w:t>
            </w:r>
          </w:p>
        </w:tc>
      </w:tr>
      <w:tr w:rsidR="005556F7" w14:paraId="6D645026" w14:textId="77777777">
        <w:trPr>
          <w:trHeight w:val="320"/>
        </w:trPr>
        <w:tc>
          <w:tcPr>
            <w:tcW w:w="1809" w:type="dxa"/>
            <w:shd w:val="clear" w:color="auto" w:fill="F2F2F2"/>
            <w:vAlign w:val="center"/>
          </w:tcPr>
          <w:p w14:paraId="79DE1F63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14:paraId="5967174B" w14:textId="77777777" w:rsidR="005556F7" w:rsidRDefault="005556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2F57BAD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7E96771B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56F7" w14:paraId="48C735ED" w14:textId="77777777">
        <w:trPr>
          <w:trHeight w:val="224"/>
        </w:trPr>
        <w:tc>
          <w:tcPr>
            <w:tcW w:w="1809" w:type="dxa"/>
            <w:vMerge w:val="restart"/>
            <w:vAlign w:val="center"/>
          </w:tcPr>
          <w:p w14:paraId="3C63C00F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Nivel de Formación</w:t>
            </w:r>
          </w:p>
        </w:tc>
        <w:tc>
          <w:tcPr>
            <w:tcW w:w="1418" w:type="dxa"/>
            <w:vAlign w:val="center"/>
          </w:tcPr>
          <w:p w14:paraId="59CBDBD6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7CBD7927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DDDA43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590AF103" w14:textId="77777777" w:rsidR="005556F7" w:rsidRDefault="00886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13CCF488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38CDC339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6F7" w14:paraId="58AADC00" w14:textId="77777777">
        <w:trPr>
          <w:trHeight w:val="265"/>
        </w:trPr>
        <w:tc>
          <w:tcPr>
            <w:tcW w:w="1809" w:type="dxa"/>
            <w:vMerge/>
            <w:vAlign w:val="center"/>
          </w:tcPr>
          <w:p w14:paraId="1D6CA53C" w14:textId="77777777" w:rsidR="005556F7" w:rsidRDefault="0055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0BA3FE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159F4621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522766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5CBE2B80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7B73A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055CEADD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6F7" w14:paraId="07DF17C6" w14:textId="77777777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14:paraId="2DC6E34A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20A47F4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Básica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F772CB7" w14:textId="77777777" w:rsidR="005556F7" w:rsidRDefault="005556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9FB307D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 o Disciplinar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47FF43D" w14:textId="77777777" w:rsidR="005556F7" w:rsidRDefault="00886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6BC9B747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4890705" w14:textId="77777777" w:rsidR="005556F7" w:rsidRDefault="005556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6F7" w14:paraId="604F0CCC" w14:textId="77777777">
        <w:trPr>
          <w:trHeight w:val="103"/>
        </w:trPr>
        <w:tc>
          <w:tcPr>
            <w:tcW w:w="1809" w:type="dxa"/>
            <w:vAlign w:val="center"/>
          </w:tcPr>
          <w:p w14:paraId="149FA8F3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4C213796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Teórico</w:t>
            </w:r>
          </w:p>
        </w:tc>
        <w:tc>
          <w:tcPr>
            <w:tcW w:w="567" w:type="dxa"/>
            <w:vAlign w:val="center"/>
          </w:tcPr>
          <w:p w14:paraId="315E5002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02064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Práctico</w:t>
            </w:r>
          </w:p>
        </w:tc>
        <w:tc>
          <w:tcPr>
            <w:tcW w:w="1276" w:type="dxa"/>
            <w:vAlign w:val="center"/>
          </w:tcPr>
          <w:p w14:paraId="735750A0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BD0215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2905D87D" w14:textId="77777777" w:rsidR="005556F7" w:rsidRDefault="00886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556F7" w14:paraId="7C02B6E2" w14:textId="77777777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14:paraId="53AAE2B2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DC7B8C7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Presencial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2089CA2" w14:textId="77777777" w:rsidR="005556F7" w:rsidRDefault="00886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6DD3BC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360A7D1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E12D291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Mixta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324F61E" w14:textId="77777777" w:rsidR="005556F7" w:rsidRDefault="00555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6F7" w14:paraId="5160D4D4" w14:textId="77777777">
        <w:trPr>
          <w:trHeight w:val="103"/>
        </w:trPr>
        <w:tc>
          <w:tcPr>
            <w:tcW w:w="1809" w:type="dxa"/>
            <w:vAlign w:val="center"/>
          </w:tcPr>
          <w:p w14:paraId="0F2F0214" w14:textId="77777777" w:rsidR="005556F7" w:rsidRDefault="00886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196F640D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Presencial</w:t>
            </w:r>
          </w:p>
        </w:tc>
        <w:tc>
          <w:tcPr>
            <w:tcW w:w="567" w:type="dxa"/>
            <w:vAlign w:val="center"/>
          </w:tcPr>
          <w:p w14:paraId="615E15B2" w14:textId="77777777" w:rsidR="005556F7" w:rsidRDefault="00886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17338BC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</w:t>
            </w:r>
          </w:p>
        </w:tc>
        <w:tc>
          <w:tcPr>
            <w:tcW w:w="1276" w:type="dxa"/>
            <w:vAlign w:val="center"/>
          </w:tcPr>
          <w:p w14:paraId="6C5473CA" w14:textId="77777777" w:rsidR="005556F7" w:rsidRDefault="005556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EAF102" w14:textId="77777777" w:rsidR="005556F7" w:rsidRDefault="008869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162CD7D5" w14:textId="77777777" w:rsidR="005556F7" w:rsidRDefault="00886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AD1A9AD" w14:textId="77777777" w:rsidR="005556F7" w:rsidRDefault="005556F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671177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515BDE0" w14:textId="77777777" w:rsidR="005556F7" w:rsidRDefault="00886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DESCRIPCIÓN DEL CURSO</w:t>
      </w:r>
    </w:p>
    <w:p w14:paraId="7E220453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556F7" w14:paraId="5D3C5663" w14:textId="77777777">
        <w:trPr>
          <w:trHeight w:val="286"/>
        </w:trPr>
        <w:tc>
          <w:tcPr>
            <w:tcW w:w="8828" w:type="dxa"/>
            <w:shd w:val="clear" w:color="auto" w:fill="F2F2F2"/>
          </w:tcPr>
          <w:p w14:paraId="7A0CEF11" w14:textId="77777777" w:rsidR="005556F7" w:rsidRDefault="0088691D">
            <w:pPr>
              <w:jc w:val="both"/>
            </w:pPr>
            <w:r>
              <w:t xml:space="preserve">Las tres unidades de este curso buscan potenciar las competencias comunicativas de los estudiantes, mediante recursos de trabajo claves en el ámbito académico y la producción de textos como el resumen, la reseña, el informe de lectura y el ensayo. En este </w:t>
            </w:r>
            <w:r>
              <w:t>sentido, se abordan contenidos transversales como la competencia gramatical, la cohesión, la coherencia y la composición de los textos con sujeción a normas o principios del lenguaje escrito. Asimismo, se asume la escritura como un proceso que tiene un ant</w:t>
            </w:r>
            <w:r>
              <w:t xml:space="preserve">es, un durante y un después, y guarda una estrecha relación con el proceso de lectura. Se insiste entonces, a lo largo de las tres unidades, en que para escribir es necesario buscar y seleccionar información, generar ideas, redactarlas, respetar criterios </w:t>
            </w:r>
            <w:r>
              <w:t>formales y revisar el producto final. En otras palabras, escribir implica planificar, ejecutar y perfeccionar el texto producido.</w:t>
            </w:r>
          </w:p>
        </w:tc>
      </w:tr>
    </w:tbl>
    <w:p w14:paraId="6ECAED80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064A06" w14:textId="77777777" w:rsidR="005556F7" w:rsidRDefault="00886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JUSTIFICACIÓN DEL CURSO</w:t>
      </w:r>
    </w:p>
    <w:p w14:paraId="5E52B234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556F7" w14:paraId="6C7AAC0D" w14:textId="77777777">
        <w:trPr>
          <w:trHeight w:val="286"/>
        </w:trPr>
        <w:tc>
          <w:tcPr>
            <w:tcW w:w="8828" w:type="dxa"/>
            <w:shd w:val="clear" w:color="auto" w:fill="F2F2F2"/>
          </w:tcPr>
          <w:p w14:paraId="258B4FA1" w14:textId="77777777" w:rsidR="005556F7" w:rsidRDefault="0088691D">
            <w:pPr>
              <w:jc w:val="both"/>
            </w:pPr>
            <w:r>
              <w:t>Los estudiantes de la Licenciatura en Humanidades y Lengua Castellana se preparan para generar espacios pedagógicos de aprendizaje y enseñanza de esta lengua. Con tal propósito, deben potenciar sus habilidades metacognitivas para abordar sus disciplinas de</w:t>
            </w:r>
            <w:r>
              <w:t xml:space="preserve"> estudio, por un lado, y, por el otro, para expresar sus ideas con eficacia en forma oral y escrita. Ahora bien, la producción de textos académicos </w:t>
            </w:r>
            <w:proofErr w:type="gramStart"/>
            <w:r>
              <w:t>bien estructurados y bien redactados</w:t>
            </w:r>
            <w:proofErr w:type="gramEnd"/>
            <w:r>
              <w:t xml:space="preserve"> es una exigencia y una necesidad en cualquier área de formación; pero l</w:t>
            </w:r>
            <w:r>
              <w:t xml:space="preserve">o es mucho más en este Programa. En efecto, sus estudiantes son los futuros docentes que enseñarán, en su momento, a escribir a sus propios estudiantes. Por eso, se impone brindarles las bases teóricas y las herramientas prácticas para su propia formación </w:t>
            </w:r>
            <w:r>
              <w:t xml:space="preserve">y para manejar distintos formatos de textos académicos como los que se trabajarán en este curso. De este modo, el nivel 3 del Taller de Competencias Comunicativas constituye un firme primer paso hacia la elaboración de textos académicos más complejos como </w:t>
            </w:r>
            <w:r>
              <w:t>los que se abordarán en el nivel 4.</w:t>
            </w:r>
          </w:p>
        </w:tc>
      </w:tr>
    </w:tbl>
    <w:p w14:paraId="39276363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71C9FC3" w14:textId="77777777" w:rsidR="005556F7" w:rsidRDefault="00886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PRÓPOSITO GENERAL DEL CURSO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556F7" w14:paraId="3E50B8E5" w14:textId="77777777">
        <w:tc>
          <w:tcPr>
            <w:tcW w:w="8828" w:type="dxa"/>
            <w:shd w:val="clear" w:color="auto" w:fill="F2F2F2"/>
          </w:tcPr>
          <w:p w14:paraId="6029CAAA" w14:textId="77777777" w:rsidR="005556F7" w:rsidRDefault="0088691D">
            <w:pPr>
              <w:jc w:val="both"/>
            </w:pPr>
            <w:r>
              <w:lastRenderedPageBreak/>
              <w:t>Fortalecer las competencias comunicativas de los estudiantes</w:t>
            </w:r>
            <w:r>
              <w:rPr>
                <w:sz w:val="24"/>
                <w:szCs w:val="24"/>
              </w:rPr>
              <w:t xml:space="preserve"> </w:t>
            </w:r>
            <w:r>
              <w:t>de la Licenciatura en Humanidades y Lengua Castellana, formándolos en el manejo de recursos de trabajo claves en el ámbito académ</w:t>
            </w:r>
            <w:r>
              <w:t>ico y en la producción de textos como el resumen, la reseña, el informe de lectura y el ensayo.</w:t>
            </w:r>
          </w:p>
        </w:tc>
      </w:tr>
    </w:tbl>
    <w:p w14:paraId="39D1FA90" w14:textId="77777777" w:rsidR="005556F7" w:rsidRDefault="005556F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864A31" w14:textId="77777777" w:rsidR="005556F7" w:rsidRDefault="008869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COMPETENCIA GENERAL DEL CURSO</w:t>
      </w:r>
    </w:p>
    <w:p w14:paraId="05D91884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556F7" w14:paraId="0C01EF89" w14:textId="77777777">
        <w:trPr>
          <w:trHeight w:val="230"/>
        </w:trPr>
        <w:tc>
          <w:tcPr>
            <w:tcW w:w="8828" w:type="dxa"/>
            <w:shd w:val="clear" w:color="auto" w:fill="F2F2F2"/>
          </w:tcPr>
          <w:p w14:paraId="748E23D7" w14:textId="77777777" w:rsidR="005556F7" w:rsidRDefault="0088691D">
            <w:pPr>
              <w:jc w:val="both"/>
            </w:pPr>
            <w:r>
              <w:t xml:space="preserve">Producir resúmenes, reseñas, informes de lectura y ensayos académicos con sujeción a las exigencias de cada tipo de texto y a las normas de presentación de </w:t>
            </w:r>
            <w:proofErr w:type="gramStart"/>
            <w:r>
              <w:t>los mismos</w:t>
            </w:r>
            <w:proofErr w:type="gramEnd"/>
            <w:r>
              <w:t>.</w:t>
            </w:r>
          </w:p>
        </w:tc>
      </w:tr>
    </w:tbl>
    <w:p w14:paraId="414F1B22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D0C251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DBB6488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0C9DB5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0AFC9A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4895D3D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  <w:sectPr w:rsidR="005556F7">
          <w:headerReference w:type="default" r:id="rId7"/>
          <w:foot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14CAB6F8" w14:textId="77777777" w:rsidR="005556F7" w:rsidRDefault="0088691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6. PLANEACIÓN DE LAS UNIDADES DE FORMACIÓN</w:t>
      </w:r>
    </w:p>
    <w:p w14:paraId="3FD9F859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556F7" w14:paraId="74FAB60F" w14:textId="77777777">
        <w:tc>
          <w:tcPr>
            <w:tcW w:w="1242" w:type="dxa"/>
            <w:shd w:val="clear" w:color="auto" w:fill="F2F2F2"/>
            <w:vAlign w:val="center"/>
          </w:tcPr>
          <w:p w14:paraId="28194746" w14:textId="77777777" w:rsidR="005556F7" w:rsidRDefault="0088691D">
            <w:pPr>
              <w:rPr>
                <w:b/>
              </w:rPr>
            </w:pPr>
            <w:r>
              <w:rPr>
                <w:b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6CD01335" w14:textId="77777777" w:rsidR="005556F7" w:rsidRDefault="0088691D">
            <w:r>
              <w:t>Algunos recursos para fortalecer la competencia comunicativa en el ámbito académico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57DBCBD" w14:textId="77777777" w:rsidR="005556F7" w:rsidRDefault="0088691D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43BE421A" w14:textId="77777777" w:rsidR="005556F7" w:rsidRDefault="0088691D">
            <w:r>
              <w:t>Manejar con propiedad los recursos de fortalecimiento de la competencia comunicativa propuestos en la unid</w:t>
            </w:r>
            <w:r>
              <w:t>ad.</w:t>
            </w:r>
          </w:p>
        </w:tc>
      </w:tr>
      <w:tr w:rsidR="005556F7" w14:paraId="7478D508" w14:textId="77777777">
        <w:tc>
          <w:tcPr>
            <w:tcW w:w="2933" w:type="dxa"/>
            <w:gridSpan w:val="2"/>
            <w:shd w:val="clear" w:color="auto" w:fill="F2F2F2"/>
            <w:vAlign w:val="center"/>
          </w:tcPr>
          <w:p w14:paraId="51275CC0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87" w:type="dxa"/>
            <w:shd w:val="clear" w:color="auto" w:fill="F2F2F2"/>
            <w:vAlign w:val="center"/>
          </w:tcPr>
          <w:p w14:paraId="6E1E22F7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530492E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8742F77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C4DEC8E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</w:tr>
      <w:tr w:rsidR="005556F7" w14:paraId="1FD05BC0" w14:textId="77777777">
        <w:tc>
          <w:tcPr>
            <w:tcW w:w="2933" w:type="dxa"/>
            <w:gridSpan w:val="2"/>
            <w:vAlign w:val="center"/>
          </w:tcPr>
          <w:p w14:paraId="5A917EC1" w14:textId="77777777" w:rsidR="005556F7" w:rsidRDefault="0088691D">
            <w:r>
              <w:t>1. Pautas básicas de redacción académica:</w:t>
            </w:r>
          </w:p>
          <w:p w14:paraId="1AB88CDB" w14:textId="77777777" w:rsidR="005556F7" w:rsidRDefault="0088691D">
            <w:r>
              <w:t>-La oración</w:t>
            </w:r>
          </w:p>
          <w:p w14:paraId="35005FC3" w14:textId="77777777" w:rsidR="005556F7" w:rsidRDefault="0088691D">
            <w:r>
              <w:t>-El párrafo</w:t>
            </w:r>
          </w:p>
          <w:p w14:paraId="6A668A23" w14:textId="77777777" w:rsidR="005556F7" w:rsidRDefault="0088691D">
            <w:r>
              <w:t>-La estructura del texto académico</w:t>
            </w:r>
          </w:p>
          <w:p w14:paraId="7ACE59CC" w14:textId="77777777" w:rsidR="005556F7" w:rsidRDefault="0088691D">
            <w:r>
              <w:t>-Los conectores lógicos o marcadores discursivos</w:t>
            </w:r>
          </w:p>
          <w:p w14:paraId="5957D554" w14:textId="77777777" w:rsidR="005556F7" w:rsidRDefault="0088691D">
            <w:r>
              <w:t>2. El resumen como estrategia de lectura: recomendaciones para su elaboración</w:t>
            </w:r>
          </w:p>
          <w:p w14:paraId="199FD8DA" w14:textId="77777777" w:rsidR="005556F7" w:rsidRDefault="0088691D">
            <w:r>
              <w:t>3. Las normas APA</w:t>
            </w:r>
          </w:p>
          <w:p w14:paraId="244ED4CD" w14:textId="77777777" w:rsidR="005556F7" w:rsidRDefault="0088691D">
            <w:r>
              <w:t>4. Técnicas de estudio</w:t>
            </w:r>
          </w:p>
        </w:tc>
        <w:tc>
          <w:tcPr>
            <w:tcW w:w="2987" w:type="dxa"/>
            <w:vAlign w:val="center"/>
          </w:tcPr>
          <w:p w14:paraId="7F467963" w14:textId="77777777" w:rsidR="005556F7" w:rsidRDefault="00886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Intervenciones magistrales</w:t>
            </w:r>
          </w:p>
          <w:p w14:paraId="4DABBEA7" w14:textId="77777777" w:rsidR="005556F7" w:rsidRDefault="00886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Trabajo de documentación sobre las temáticas tratadas</w:t>
            </w:r>
          </w:p>
          <w:p w14:paraId="50BDF7E4" w14:textId="77777777" w:rsidR="005556F7" w:rsidRDefault="00886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Socialización en equipo de documentos y experiencias</w:t>
            </w:r>
          </w:p>
          <w:p w14:paraId="22DBBCE6" w14:textId="77777777" w:rsidR="005556F7" w:rsidRDefault="00886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Ejercicios guiados.</w:t>
            </w:r>
          </w:p>
          <w:p w14:paraId="62EA7994" w14:textId="77777777" w:rsidR="005556F7" w:rsidRDefault="00886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Práctica autónoma.</w:t>
            </w:r>
          </w:p>
        </w:tc>
        <w:tc>
          <w:tcPr>
            <w:tcW w:w="2835" w:type="dxa"/>
            <w:vAlign w:val="center"/>
          </w:tcPr>
          <w:p w14:paraId="5846FB2E" w14:textId="77777777" w:rsidR="005556F7" w:rsidRDefault="0088691D">
            <w:r>
              <w:t xml:space="preserve">              El estudiante:</w:t>
            </w:r>
          </w:p>
          <w:p w14:paraId="361EFA70" w14:textId="77777777" w:rsidR="005556F7" w:rsidRDefault="008869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Pone en práctica las pautas básicas de redacción que se le han propuesto.</w:t>
            </w:r>
          </w:p>
          <w:p w14:paraId="5D7A75A6" w14:textId="77777777" w:rsidR="005556F7" w:rsidRDefault="008869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Utiliza</w:t>
            </w:r>
            <w:r>
              <w:rPr>
                <w:color w:val="000000"/>
                <w:sz w:val="24"/>
                <w:szCs w:val="24"/>
              </w:rPr>
              <w:t xml:space="preserve"> en sus actividades académicas de este curso los recursos de fortalecimiento de la competencia comunicativa propuestos en la unidad.</w:t>
            </w:r>
          </w:p>
          <w:p w14:paraId="3E004EC6" w14:textId="77777777" w:rsidR="005556F7" w:rsidRDefault="008869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Redacta un resumen bien estructurado y acorde al texto de </w:t>
            </w:r>
            <w:proofErr w:type="gramStart"/>
            <w:r>
              <w:rPr>
                <w:color w:val="000000"/>
                <w:sz w:val="24"/>
                <w:szCs w:val="24"/>
              </w:rPr>
              <w:t>partida..</w:t>
            </w:r>
            <w:proofErr w:type="gramEnd"/>
          </w:p>
        </w:tc>
        <w:tc>
          <w:tcPr>
            <w:tcW w:w="2977" w:type="dxa"/>
            <w:vAlign w:val="center"/>
          </w:tcPr>
          <w:p w14:paraId="2CDAEA3B" w14:textId="77777777" w:rsidR="005556F7" w:rsidRDefault="008869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 de escucha y observancia de instrucciones.</w:t>
            </w:r>
          </w:p>
          <w:p w14:paraId="6558AD47" w14:textId="77777777" w:rsidR="005556F7" w:rsidRDefault="008869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  <w:r>
              <w:rPr>
                <w:color w:val="000000"/>
                <w:sz w:val="24"/>
                <w:szCs w:val="24"/>
              </w:rPr>
              <w:t>pacidad de ejecución de las actividades propuestas.</w:t>
            </w:r>
          </w:p>
          <w:p w14:paraId="15FC6073" w14:textId="77777777" w:rsidR="005556F7" w:rsidRDefault="008869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Calidad de las producciones escritas.</w:t>
            </w:r>
          </w:p>
        </w:tc>
        <w:tc>
          <w:tcPr>
            <w:tcW w:w="1417" w:type="dxa"/>
            <w:vAlign w:val="center"/>
          </w:tcPr>
          <w:p w14:paraId="0E0CE596" w14:textId="77777777" w:rsidR="005556F7" w:rsidRDefault="0088691D">
            <w:r>
              <w:t>1-5</w:t>
            </w:r>
          </w:p>
        </w:tc>
      </w:tr>
    </w:tbl>
    <w:p w14:paraId="175C8754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3C06C4B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075DBA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556F7" w14:paraId="231B8EFB" w14:textId="77777777">
        <w:tc>
          <w:tcPr>
            <w:tcW w:w="1242" w:type="dxa"/>
            <w:shd w:val="clear" w:color="auto" w:fill="F2F2F2"/>
            <w:vAlign w:val="center"/>
          </w:tcPr>
          <w:p w14:paraId="6DA3724C" w14:textId="77777777" w:rsidR="005556F7" w:rsidRDefault="0088691D">
            <w:pPr>
              <w:rPr>
                <w:b/>
              </w:rPr>
            </w:pPr>
            <w:r>
              <w:rPr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3264C39F" w14:textId="77777777" w:rsidR="005556F7" w:rsidRDefault="0088691D">
            <w:r>
              <w:t>La reseña y el informe de lectura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EB187E5" w14:textId="77777777" w:rsidR="005556F7" w:rsidRDefault="0088691D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BB753ED" w14:textId="77777777" w:rsidR="005556F7" w:rsidRDefault="0088691D">
            <w:r>
              <w:t>Elaborar reseñas e informes de lectura.</w:t>
            </w:r>
          </w:p>
        </w:tc>
      </w:tr>
      <w:tr w:rsidR="005556F7" w14:paraId="365EE896" w14:textId="77777777">
        <w:tc>
          <w:tcPr>
            <w:tcW w:w="2933" w:type="dxa"/>
            <w:gridSpan w:val="2"/>
            <w:shd w:val="clear" w:color="auto" w:fill="F2F2F2"/>
            <w:vAlign w:val="center"/>
          </w:tcPr>
          <w:p w14:paraId="7348EB87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87" w:type="dxa"/>
            <w:shd w:val="clear" w:color="auto" w:fill="F2F2F2"/>
            <w:vAlign w:val="center"/>
          </w:tcPr>
          <w:p w14:paraId="4F808AA9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1544F89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A7C01F3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263B68C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</w:tr>
      <w:tr w:rsidR="005556F7" w14:paraId="7902A4EA" w14:textId="77777777">
        <w:tc>
          <w:tcPr>
            <w:tcW w:w="2933" w:type="dxa"/>
            <w:gridSpan w:val="2"/>
            <w:vAlign w:val="center"/>
          </w:tcPr>
          <w:p w14:paraId="720D8028" w14:textId="77777777" w:rsidR="005556F7" w:rsidRDefault="0088691D">
            <w:r>
              <w:t>1. Estructura de la reseña y recomendaciones para su elaboración</w:t>
            </w:r>
          </w:p>
          <w:p w14:paraId="0AFA6B2E" w14:textId="77777777" w:rsidR="005556F7" w:rsidRDefault="0088691D">
            <w:r>
              <w:t>2. Producción de una reseña</w:t>
            </w:r>
          </w:p>
          <w:p w14:paraId="43EE85DF" w14:textId="77777777" w:rsidR="005556F7" w:rsidRDefault="0088691D">
            <w:r>
              <w:t>3. Estructura del informe de lectura y recomendaciones para su elaboración</w:t>
            </w:r>
          </w:p>
          <w:p w14:paraId="3092A4C3" w14:textId="77777777" w:rsidR="005556F7" w:rsidRDefault="0088691D">
            <w:r>
              <w:t>4. Producción de un informe de lec</w:t>
            </w:r>
            <w:r>
              <w:t>tura</w:t>
            </w:r>
          </w:p>
        </w:tc>
        <w:tc>
          <w:tcPr>
            <w:tcW w:w="2987" w:type="dxa"/>
            <w:vAlign w:val="center"/>
          </w:tcPr>
          <w:p w14:paraId="04C7A423" w14:textId="77777777" w:rsidR="005556F7" w:rsidRDefault="008869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Trabajo de documentación sobre la reseña y el informe de lectura.</w:t>
            </w:r>
          </w:p>
          <w:p w14:paraId="79F07747" w14:textId="77777777" w:rsidR="005556F7" w:rsidRDefault="008869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Intervención magistral</w:t>
            </w:r>
          </w:p>
          <w:p w14:paraId="191CD136" w14:textId="77777777" w:rsidR="005556F7" w:rsidRDefault="008869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Discusión temática: construyendo consenso sobre la reseña y el informe de lectura.</w:t>
            </w:r>
          </w:p>
          <w:p w14:paraId="0192C62F" w14:textId="77777777" w:rsidR="005556F7" w:rsidRDefault="008869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Ejercicio guiado de elaboración de reseñas e informes de lectura.</w:t>
            </w:r>
          </w:p>
          <w:p w14:paraId="76C9AA13" w14:textId="77777777" w:rsidR="005556F7" w:rsidRDefault="008869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Práctica autónoma de elaboración de reseñas e informes de lectura.</w:t>
            </w:r>
          </w:p>
        </w:tc>
        <w:tc>
          <w:tcPr>
            <w:tcW w:w="2835" w:type="dxa"/>
            <w:vAlign w:val="center"/>
          </w:tcPr>
          <w:p w14:paraId="318E932A" w14:textId="77777777" w:rsidR="005556F7" w:rsidRDefault="0088691D">
            <w:pPr>
              <w:ind w:left="720"/>
            </w:pPr>
            <w:r>
              <w:lastRenderedPageBreak/>
              <w:t>El estudiante:</w:t>
            </w:r>
          </w:p>
          <w:p w14:paraId="45B085CE" w14:textId="77777777" w:rsidR="005556F7" w:rsidRDefault="0088691D">
            <w:pPr>
              <w:numPr>
                <w:ilvl w:val="0"/>
                <w:numId w:val="1"/>
              </w:numPr>
            </w:pPr>
            <w:r>
              <w:t>Reconoce los elementos constitutivos de una reseña y de un informe de lectura.</w:t>
            </w:r>
          </w:p>
          <w:p w14:paraId="2009F79F" w14:textId="77777777" w:rsidR="005556F7" w:rsidRDefault="0088691D">
            <w:pPr>
              <w:numPr>
                <w:ilvl w:val="0"/>
                <w:numId w:val="1"/>
              </w:numPr>
            </w:pPr>
            <w:r>
              <w:t>Redacta reseñas e informes de lectura bien estructurados y acordes a los textos de partida.</w:t>
            </w:r>
          </w:p>
          <w:p w14:paraId="396D42B0" w14:textId="77777777" w:rsidR="005556F7" w:rsidRDefault="0088691D">
            <w:pPr>
              <w:numPr>
                <w:ilvl w:val="0"/>
                <w:numId w:val="1"/>
              </w:numPr>
            </w:pPr>
            <w:r>
              <w:t xml:space="preserve">Respeta criterios formales y aplica las normas APA en la </w:t>
            </w:r>
            <w:r>
              <w:lastRenderedPageBreak/>
              <w:t>producción de reseñas e info</w:t>
            </w:r>
            <w:r>
              <w:t xml:space="preserve">rmes de lectura. </w:t>
            </w:r>
          </w:p>
        </w:tc>
        <w:tc>
          <w:tcPr>
            <w:tcW w:w="2977" w:type="dxa"/>
            <w:vAlign w:val="center"/>
          </w:tcPr>
          <w:p w14:paraId="2FA42F0F" w14:textId="77777777" w:rsidR="005556F7" w:rsidRDefault="008869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Calidad de la participación en las actividades programadas.</w:t>
            </w:r>
          </w:p>
          <w:p w14:paraId="48AE131D" w14:textId="77777777" w:rsidR="005556F7" w:rsidRDefault="008869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Calidad de la redacción de las reseñas e informes de lectura.</w:t>
            </w:r>
          </w:p>
          <w:p w14:paraId="59201002" w14:textId="77777777" w:rsidR="005556F7" w:rsidRDefault="008869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Uso adecuado de las normas APA en la producción de </w:t>
            </w:r>
            <w:r>
              <w:rPr>
                <w:color w:val="000000"/>
                <w:sz w:val="24"/>
                <w:szCs w:val="24"/>
              </w:rPr>
              <w:lastRenderedPageBreak/>
              <w:t>reseñas e informes de lectura.</w:t>
            </w:r>
          </w:p>
        </w:tc>
        <w:tc>
          <w:tcPr>
            <w:tcW w:w="1417" w:type="dxa"/>
            <w:vAlign w:val="center"/>
          </w:tcPr>
          <w:p w14:paraId="3E12F9B7" w14:textId="77777777" w:rsidR="005556F7" w:rsidRDefault="008869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6-10</w:t>
            </w:r>
          </w:p>
        </w:tc>
      </w:tr>
    </w:tbl>
    <w:p w14:paraId="757D9120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357D05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0A2785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9AF926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556F7" w14:paraId="516463D9" w14:textId="77777777">
        <w:tc>
          <w:tcPr>
            <w:tcW w:w="1242" w:type="dxa"/>
            <w:shd w:val="clear" w:color="auto" w:fill="F2F2F2"/>
            <w:vAlign w:val="center"/>
          </w:tcPr>
          <w:p w14:paraId="6C550CDB" w14:textId="77777777" w:rsidR="005556F7" w:rsidRDefault="0088691D">
            <w:pPr>
              <w:rPr>
                <w:b/>
              </w:rPr>
            </w:pPr>
            <w:r>
              <w:rPr>
                <w:b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15DB16B0" w14:textId="77777777" w:rsidR="005556F7" w:rsidRDefault="0088691D">
            <w:r>
              <w:t>El ensayo académico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1020B6C" w14:textId="77777777" w:rsidR="005556F7" w:rsidRDefault="0088691D">
            <w:pPr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67CEB87" w14:textId="77777777" w:rsidR="005556F7" w:rsidRDefault="0088691D">
            <w:r>
              <w:t>Elaborar ensayos académicos.</w:t>
            </w:r>
          </w:p>
        </w:tc>
      </w:tr>
      <w:tr w:rsidR="005556F7" w14:paraId="25DB5844" w14:textId="77777777">
        <w:tc>
          <w:tcPr>
            <w:tcW w:w="2933" w:type="dxa"/>
            <w:gridSpan w:val="2"/>
            <w:shd w:val="clear" w:color="auto" w:fill="F2F2F2"/>
            <w:vAlign w:val="center"/>
          </w:tcPr>
          <w:p w14:paraId="13575274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87" w:type="dxa"/>
            <w:shd w:val="clear" w:color="auto" w:fill="F2F2F2"/>
            <w:vAlign w:val="center"/>
          </w:tcPr>
          <w:p w14:paraId="1802DEB8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127039F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0C2CF3E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C954741" w14:textId="77777777" w:rsidR="005556F7" w:rsidRDefault="0088691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</w:tr>
      <w:tr w:rsidR="005556F7" w14:paraId="6C28D037" w14:textId="77777777">
        <w:tc>
          <w:tcPr>
            <w:tcW w:w="2933" w:type="dxa"/>
            <w:gridSpan w:val="2"/>
            <w:vAlign w:val="center"/>
          </w:tcPr>
          <w:p w14:paraId="6AD5DF66" w14:textId="77777777" w:rsidR="005556F7" w:rsidRDefault="0088691D">
            <w:pPr>
              <w:spacing w:line="288" w:lineRule="auto"/>
            </w:pPr>
            <w:r>
              <w:t>1. Estructura del ensayo académico</w:t>
            </w:r>
          </w:p>
          <w:p w14:paraId="29E83CD3" w14:textId="77777777" w:rsidR="005556F7" w:rsidRDefault="0088691D">
            <w:pPr>
              <w:spacing w:line="288" w:lineRule="auto"/>
            </w:pPr>
            <w:r>
              <w:t>2. Recomendaciones para su elaboración</w:t>
            </w:r>
          </w:p>
          <w:p w14:paraId="4D722C5D" w14:textId="77777777" w:rsidR="005556F7" w:rsidRDefault="0088691D">
            <w:pPr>
              <w:spacing w:line="288" w:lineRule="auto"/>
            </w:pPr>
            <w:r>
              <w:t>3. Producción de un ensayo académico</w:t>
            </w:r>
          </w:p>
        </w:tc>
        <w:tc>
          <w:tcPr>
            <w:tcW w:w="2987" w:type="dxa"/>
            <w:vAlign w:val="center"/>
          </w:tcPr>
          <w:p w14:paraId="301CD117" w14:textId="77777777" w:rsidR="005556F7" w:rsidRDefault="008869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Intervención magistral</w:t>
            </w:r>
          </w:p>
          <w:p w14:paraId="5C8E2902" w14:textId="77777777" w:rsidR="005556F7" w:rsidRDefault="008869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Deconstrucción de dos ensayos modelo.</w:t>
            </w:r>
          </w:p>
          <w:p w14:paraId="54C820C5" w14:textId="77777777" w:rsidR="005556F7" w:rsidRDefault="008869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Ejercicio guiado de producción de un ensayo.</w:t>
            </w:r>
          </w:p>
          <w:p w14:paraId="1C9E06C0" w14:textId="77777777" w:rsidR="005556F7" w:rsidRDefault="008869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Práctica autónoma: elaboración de un ensayo académico.</w:t>
            </w:r>
          </w:p>
        </w:tc>
        <w:tc>
          <w:tcPr>
            <w:tcW w:w="2835" w:type="dxa"/>
            <w:vAlign w:val="center"/>
          </w:tcPr>
          <w:p w14:paraId="7575BDC7" w14:textId="77777777" w:rsidR="005556F7" w:rsidRDefault="0088691D">
            <w:pPr>
              <w:ind w:left="720"/>
            </w:pPr>
            <w:r>
              <w:t>El estudiante:</w:t>
            </w:r>
          </w:p>
          <w:p w14:paraId="40FE66D1" w14:textId="77777777" w:rsidR="005556F7" w:rsidRDefault="0088691D">
            <w:pPr>
              <w:numPr>
                <w:ilvl w:val="0"/>
                <w:numId w:val="1"/>
              </w:numPr>
            </w:pPr>
            <w:r>
              <w:t>Reconoce los elementos constitutivos de un ensayo académico.</w:t>
            </w:r>
          </w:p>
          <w:p w14:paraId="7ABB2C93" w14:textId="77777777" w:rsidR="005556F7" w:rsidRDefault="0088691D">
            <w:pPr>
              <w:numPr>
                <w:ilvl w:val="0"/>
                <w:numId w:val="1"/>
              </w:numPr>
            </w:pPr>
            <w:r>
              <w:t>Redacta un ensayo académico</w:t>
            </w:r>
          </w:p>
          <w:p w14:paraId="79A9FCA2" w14:textId="77777777" w:rsidR="005556F7" w:rsidRDefault="0088691D">
            <w:pPr>
              <w:numPr>
                <w:ilvl w:val="0"/>
                <w:numId w:val="1"/>
              </w:numPr>
            </w:pPr>
            <w:r>
              <w:t xml:space="preserve">Respeta criterios formales y aplica las normas APA en la producción de ensayos académicos. </w:t>
            </w:r>
          </w:p>
        </w:tc>
        <w:tc>
          <w:tcPr>
            <w:tcW w:w="2977" w:type="dxa"/>
            <w:vAlign w:val="center"/>
          </w:tcPr>
          <w:p w14:paraId="094DCF29" w14:textId="77777777" w:rsidR="005556F7" w:rsidRDefault="008869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Calidad de la participación en las actividades programadas.</w:t>
            </w:r>
          </w:p>
          <w:p w14:paraId="09111890" w14:textId="77777777" w:rsidR="005556F7" w:rsidRDefault="008869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Calidad de la redacción del ensayo académico.</w:t>
            </w:r>
          </w:p>
          <w:p w14:paraId="6FE7F66B" w14:textId="77777777" w:rsidR="005556F7" w:rsidRDefault="008869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adecuado de las normas APA en la producción de ensayos académicos.</w:t>
            </w:r>
          </w:p>
        </w:tc>
        <w:tc>
          <w:tcPr>
            <w:tcW w:w="1417" w:type="dxa"/>
            <w:vAlign w:val="center"/>
          </w:tcPr>
          <w:p w14:paraId="30E56A39" w14:textId="77777777" w:rsidR="005556F7" w:rsidRDefault="0088691D">
            <w:r>
              <w:t>11-16</w:t>
            </w:r>
          </w:p>
        </w:tc>
      </w:tr>
    </w:tbl>
    <w:p w14:paraId="74C8C111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4A3A961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A5BFFD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C306E7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5556F7">
          <w:headerReference w:type="default" r:id="rId10"/>
          <w:pgSz w:w="12240" w:h="15840"/>
          <w:pgMar w:top="1701" w:right="1417" w:bottom="1701" w:left="1417" w:header="708" w:footer="708" w:gutter="0"/>
          <w:cols w:space="720"/>
        </w:sectPr>
      </w:pPr>
    </w:p>
    <w:p w14:paraId="6EECBC62" w14:textId="77777777" w:rsidR="005556F7" w:rsidRDefault="008869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BIBLIOGRAFÍA BÁSICA DEL CURSO</w:t>
      </w:r>
    </w:p>
    <w:p w14:paraId="0B03EE18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556F7" w14:paraId="5E8A3ED5" w14:textId="77777777">
        <w:trPr>
          <w:trHeight w:val="230"/>
        </w:trPr>
        <w:tc>
          <w:tcPr>
            <w:tcW w:w="8828" w:type="dxa"/>
            <w:shd w:val="clear" w:color="auto" w:fill="F2F2F2"/>
          </w:tcPr>
          <w:p w14:paraId="30D1D72D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Camps, A. (1993). </w:t>
            </w:r>
            <w:r>
              <w:rPr>
                <w:i/>
                <w:color w:val="000000"/>
                <w:sz w:val="24"/>
                <w:szCs w:val="24"/>
              </w:rPr>
              <w:t>El ensayo de la composición escrita.</w:t>
            </w:r>
            <w:r>
              <w:rPr>
                <w:color w:val="000000"/>
                <w:sz w:val="24"/>
                <w:szCs w:val="24"/>
              </w:rPr>
              <w:t xml:space="preserve"> Barcelona: </w:t>
            </w:r>
            <w:proofErr w:type="spellStart"/>
            <w:r>
              <w:rPr>
                <w:color w:val="000000"/>
                <w:sz w:val="24"/>
                <w:szCs w:val="24"/>
              </w:rPr>
              <w:t>Barcabona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  <w:p w14:paraId="7D38A59F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Caravedo, R. (1990). </w:t>
            </w:r>
            <w:r>
              <w:rPr>
                <w:i/>
                <w:color w:val="000000"/>
                <w:sz w:val="24"/>
                <w:szCs w:val="24"/>
              </w:rPr>
              <w:t>La competencia lingüística.</w:t>
            </w:r>
            <w:r>
              <w:rPr>
                <w:color w:val="000000"/>
                <w:sz w:val="24"/>
                <w:szCs w:val="24"/>
              </w:rPr>
              <w:t xml:space="preserve"> Barcelona: Gredos.</w:t>
            </w:r>
          </w:p>
          <w:p w14:paraId="0136C186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Carlino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P. (2005). </w:t>
            </w:r>
            <w:r>
              <w:rPr>
                <w:i/>
                <w:color w:val="000000"/>
                <w:sz w:val="24"/>
                <w:szCs w:val="24"/>
              </w:rPr>
              <w:t>Escribir, leer y aprender en la universidad. Una introducción a la alfabetización.</w:t>
            </w:r>
            <w:r>
              <w:rPr>
                <w:color w:val="000000"/>
                <w:sz w:val="24"/>
                <w:szCs w:val="24"/>
              </w:rPr>
              <w:t xml:space="preserve"> Buenos Aires: Fondo de Cultura Económica.</w:t>
            </w:r>
          </w:p>
          <w:p w14:paraId="2CAACF6D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Cassany, D. (1993). </w:t>
            </w:r>
            <w:r>
              <w:rPr>
                <w:i/>
                <w:color w:val="000000"/>
                <w:sz w:val="24"/>
                <w:szCs w:val="24"/>
              </w:rPr>
              <w:t>Describir el escribir. Cómo se aprende a escribir.</w:t>
            </w:r>
            <w:r>
              <w:rPr>
                <w:color w:val="000000"/>
                <w:sz w:val="24"/>
                <w:szCs w:val="24"/>
              </w:rPr>
              <w:t xml:space="preserve"> (P. Comas, Trad.) Barcelona: Paidós Comunicación.</w:t>
            </w:r>
          </w:p>
          <w:p w14:paraId="2FE466B6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Cassany, D</w:t>
            </w:r>
            <w:r>
              <w:rPr>
                <w:color w:val="000000"/>
                <w:sz w:val="24"/>
                <w:szCs w:val="24"/>
              </w:rPr>
              <w:t xml:space="preserve">. (1996). </w:t>
            </w:r>
            <w:r>
              <w:rPr>
                <w:i/>
                <w:color w:val="000000"/>
                <w:sz w:val="24"/>
                <w:szCs w:val="24"/>
              </w:rPr>
              <w:t>La cocina de la escritura.</w:t>
            </w:r>
            <w:r>
              <w:rPr>
                <w:color w:val="000000"/>
                <w:sz w:val="24"/>
                <w:szCs w:val="24"/>
              </w:rPr>
              <w:t xml:space="preserve"> Barcelona: Anagrama.</w:t>
            </w:r>
          </w:p>
          <w:p w14:paraId="6845187D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Cassany, D. (2007). </w:t>
            </w:r>
            <w:r>
              <w:rPr>
                <w:i/>
                <w:color w:val="000000"/>
                <w:sz w:val="24"/>
                <w:szCs w:val="24"/>
              </w:rPr>
              <w:t>Afilar el lapicero.</w:t>
            </w:r>
            <w:r>
              <w:rPr>
                <w:color w:val="000000"/>
                <w:sz w:val="24"/>
                <w:szCs w:val="24"/>
              </w:rPr>
              <w:t xml:space="preserve"> Barcelona: Anagrama.</w:t>
            </w:r>
          </w:p>
          <w:p w14:paraId="3DC956BA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Cassany, D. (2009). </w:t>
            </w:r>
            <w:r>
              <w:rPr>
                <w:i/>
                <w:color w:val="000000"/>
                <w:sz w:val="24"/>
                <w:szCs w:val="24"/>
              </w:rPr>
              <w:t>Reparar la escritura. Didáctica de la corrección de lo escrito.</w:t>
            </w:r>
            <w:r>
              <w:rPr>
                <w:color w:val="000000"/>
                <w:sz w:val="24"/>
                <w:szCs w:val="24"/>
              </w:rPr>
              <w:t xml:space="preserve"> Barcelona: Graó.</w:t>
            </w:r>
          </w:p>
          <w:p w14:paraId="70110186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Cassany, D., &amp; García Del Toro, A. (1999). </w:t>
            </w:r>
            <w:r>
              <w:rPr>
                <w:i/>
                <w:color w:val="000000"/>
                <w:sz w:val="24"/>
                <w:szCs w:val="24"/>
              </w:rPr>
              <w:t>Recetas para escribir.</w:t>
            </w:r>
            <w:r>
              <w:rPr>
                <w:color w:val="000000"/>
                <w:sz w:val="24"/>
                <w:szCs w:val="24"/>
              </w:rPr>
              <w:t xml:space="preserve"> Madrid: Editorial Plaza Mayor.</w:t>
            </w:r>
          </w:p>
          <w:p w14:paraId="5774575B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Castelló, M. (2008). </w:t>
            </w:r>
            <w:r>
              <w:rPr>
                <w:i/>
                <w:color w:val="000000"/>
                <w:sz w:val="24"/>
                <w:szCs w:val="24"/>
              </w:rPr>
              <w:t>Aprender a escribir, escribir para aprender.</w:t>
            </w:r>
            <w:r>
              <w:rPr>
                <w:color w:val="000000"/>
                <w:sz w:val="24"/>
                <w:szCs w:val="24"/>
              </w:rPr>
              <w:t xml:space="preserve"> Barcelona: G</w:t>
            </w:r>
            <w:r>
              <w:rPr>
                <w:color w:val="000000"/>
                <w:sz w:val="24"/>
                <w:szCs w:val="24"/>
              </w:rPr>
              <w:t>raó.</w:t>
            </w:r>
          </w:p>
          <w:p w14:paraId="25482AA2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Díaz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Á. (2009). </w:t>
            </w:r>
            <w:r>
              <w:rPr>
                <w:i/>
                <w:color w:val="000000"/>
                <w:sz w:val="24"/>
                <w:szCs w:val="24"/>
              </w:rPr>
              <w:t>La argumentación escrita</w:t>
            </w:r>
            <w:r>
              <w:rPr>
                <w:color w:val="000000"/>
                <w:sz w:val="24"/>
                <w:szCs w:val="24"/>
              </w:rPr>
              <w:t xml:space="preserve"> (Segunda ed.). Medellín: Universidad de Antioquia.</w:t>
            </w:r>
          </w:p>
          <w:p w14:paraId="5C9843E5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Díaz Rodríguez, Á. (2009). </w:t>
            </w:r>
            <w:r>
              <w:rPr>
                <w:i/>
                <w:color w:val="000000"/>
                <w:sz w:val="24"/>
                <w:szCs w:val="24"/>
              </w:rPr>
              <w:t>Aproximación al texto escrito.</w:t>
            </w:r>
            <w:r>
              <w:rPr>
                <w:color w:val="000000"/>
                <w:sz w:val="24"/>
                <w:szCs w:val="24"/>
              </w:rPr>
              <w:t xml:space="preserve"> Medellín: Universidad de Antioquia.</w:t>
            </w:r>
          </w:p>
          <w:p w14:paraId="58718720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Díaz Rodríguez, Á. (2014). </w:t>
            </w:r>
            <w:r>
              <w:rPr>
                <w:i/>
                <w:color w:val="000000"/>
                <w:sz w:val="24"/>
                <w:szCs w:val="24"/>
              </w:rPr>
              <w:t>Retórica de la escritura académica.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Medellín: Universidad de Antioquia.</w:t>
            </w:r>
          </w:p>
          <w:p w14:paraId="1659B5C9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Lerner, D. (2001). </w:t>
            </w:r>
            <w:r>
              <w:rPr>
                <w:i/>
                <w:color w:val="000000"/>
                <w:sz w:val="24"/>
                <w:szCs w:val="24"/>
              </w:rPr>
              <w:t>Leer y escribir en la escuela: Lo real, lo posible y lo necesario.</w:t>
            </w:r>
            <w:r>
              <w:rPr>
                <w:color w:val="000000"/>
                <w:sz w:val="24"/>
                <w:szCs w:val="24"/>
              </w:rPr>
              <w:t xml:space="preserve"> México: Fondo de Cultura Económica.</w:t>
            </w:r>
          </w:p>
          <w:p w14:paraId="0A9FADB9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M. (2004). </w:t>
            </w:r>
            <w:r>
              <w:rPr>
                <w:i/>
                <w:color w:val="000000"/>
                <w:sz w:val="24"/>
                <w:szCs w:val="24"/>
              </w:rPr>
              <w:t>En torno a la cultura escrita.</w:t>
            </w:r>
            <w:r>
              <w:rPr>
                <w:color w:val="000000"/>
                <w:sz w:val="24"/>
                <w:szCs w:val="24"/>
              </w:rPr>
              <w:t xml:space="preserve"> México: Fondo de Cultura Económica. </w:t>
            </w:r>
          </w:p>
          <w:p w14:paraId="2AD8538C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 Academia</w:t>
            </w:r>
            <w:r>
              <w:rPr>
                <w:color w:val="000000"/>
                <w:sz w:val="24"/>
                <w:szCs w:val="24"/>
              </w:rPr>
              <w:t xml:space="preserve"> Española. (2020). </w:t>
            </w:r>
            <w:r>
              <w:rPr>
                <w:i/>
                <w:color w:val="000000"/>
                <w:sz w:val="24"/>
                <w:szCs w:val="24"/>
              </w:rPr>
              <w:t>rae.es</w:t>
            </w:r>
            <w:r>
              <w:rPr>
                <w:color w:val="000000"/>
                <w:sz w:val="24"/>
                <w:szCs w:val="24"/>
              </w:rPr>
              <w:t>. Obtenido de rae.es: https://dle.rae.es/ (</w:t>
            </w:r>
            <w:r>
              <w:rPr>
                <w:i/>
                <w:color w:val="000000"/>
                <w:sz w:val="24"/>
                <w:szCs w:val="24"/>
              </w:rPr>
              <w:t>Diccionario de la lengua española)</w:t>
            </w:r>
          </w:p>
          <w:p w14:paraId="4809E452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 Academia Española. (2020). </w:t>
            </w:r>
            <w:r>
              <w:rPr>
                <w:i/>
                <w:color w:val="000000"/>
                <w:sz w:val="24"/>
                <w:szCs w:val="24"/>
              </w:rPr>
              <w:t>rae.es</w:t>
            </w:r>
            <w:r>
              <w:rPr>
                <w:color w:val="000000"/>
                <w:sz w:val="24"/>
                <w:szCs w:val="24"/>
              </w:rPr>
              <w:t>. Obtenido de rae.es: https://www.rae.es/dpd/ (</w:t>
            </w:r>
            <w:r>
              <w:rPr>
                <w:i/>
                <w:color w:val="000000"/>
                <w:sz w:val="24"/>
                <w:szCs w:val="24"/>
              </w:rPr>
              <w:t>Diccionario panhispánico de dudas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E88FC0D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Ruiz F, M. (2009). </w:t>
            </w:r>
            <w:r>
              <w:rPr>
                <w:i/>
                <w:color w:val="000000"/>
                <w:sz w:val="24"/>
                <w:szCs w:val="24"/>
              </w:rPr>
              <w:t xml:space="preserve">Evaluación de </w:t>
            </w:r>
            <w:r>
              <w:rPr>
                <w:i/>
                <w:color w:val="000000"/>
                <w:sz w:val="24"/>
                <w:szCs w:val="24"/>
              </w:rPr>
              <w:t>la lengua escrita y dependencia de lo literal.</w:t>
            </w:r>
            <w:r>
              <w:rPr>
                <w:color w:val="000000"/>
                <w:sz w:val="24"/>
                <w:szCs w:val="24"/>
              </w:rPr>
              <w:t xml:space="preserve"> Barcelona: Graó.</w:t>
            </w:r>
          </w:p>
          <w:p w14:paraId="283A4588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Serrano de Moreno, S., &amp; Peña González, J. (2003). La escritura en el medio escolar: un estudio en las etapas. </w:t>
            </w:r>
            <w:r>
              <w:rPr>
                <w:i/>
                <w:color w:val="000000"/>
                <w:sz w:val="24"/>
                <w:szCs w:val="24"/>
              </w:rPr>
              <w:t>Educere, 6</w:t>
            </w:r>
            <w:r>
              <w:rPr>
                <w:color w:val="000000"/>
                <w:sz w:val="24"/>
                <w:szCs w:val="24"/>
              </w:rPr>
              <w:t>(20).</w:t>
            </w:r>
          </w:p>
        </w:tc>
      </w:tr>
    </w:tbl>
    <w:p w14:paraId="789955B4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79E2E9" w14:textId="77777777" w:rsidR="005556F7" w:rsidRDefault="008869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BIBLIOGRAFÍA COMPLEMENTARIA DEL CURSO</w:t>
      </w:r>
    </w:p>
    <w:p w14:paraId="3802DCB0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556F7" w14:paraId="27C34FE6" w14:textId="77777777">
        <w:trPr>
          <w:trHeight w:val="230"/>
        </w:trPr>
        <w:tc>
          <w:tcPr>
            <w:tcW w:w="8828" w:type="dxa"/>
            <w:shd w:val="clear" w:color="auto" w:fill="F2F2F2"/>
          </w:tcPr>
          <w:p w14:paraId="60D90FD2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Carlino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P. (2004). Escribir a través del currículum: tres modelos para hacerlo en la universidad. </w:t>
            </w:r>
            <w:r>
              <w:rPr>
                <w:i/>
                <w:color w:val="000000"/>
                <w:sz w:val="24"/>
                <w:szCs w:val="24"/>
              </w:rPr>
              <w:t>Revista Latinoamericana de Lectura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240DADD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Cassany, D. (1994). </w:t>
            </w:r>
            <w:r>
              <w:rPr>
                <w:i/>
                <w:color w:val="000000"/>
                <w:sz w:val="24"/>
                <w:szCs w:val="24"/>
              </w:rPr>
              <w:t>Enseñar Lengua.</w:t>
            </w:r>
            <w:r>
              <w:rPr>
                <w:color w:val="000000"/>
                <w:sz w:val="24"/>
                <w:szCs w:val="24"/>
              </w:rPr>
              <w:t xml:space="preserve"> Barcelona: Graó.</w:t>
            </w:r>
          </w:p>
          <w:p w14:paraId="0D18EF29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Castelló, M. (2006). La escri</w:t>
            </w:r>
            <w:r>
              <w:rPr>
                <w:color w:val="000000"/>
                <w:sz w:val="24"/>
                <w:szCs w:val="24"/>
              </w:rPr>
              <w:t xml:space="preserve">tura epistémica: enseñar a gestionar y regular el proceso de composición escrita. </w:t>
            </w:r>
            <w:r>
              <w:rPr>
                <w:i/>
                <w:color w:val="000000"/>
                <w:sz w:val="24"/>
                <w:szCs w:val="24"/>
              </w:rPr>
              <w:t xml:space="preserve">Ponencia en el Congreso Internacional de Educación,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investigación y formación</w:t>
            </w:r>
            <w:r>
              <w:rPr>
                <w:color w:val="000000"/>
                <w:sz w:val="24"/>
                <w:szCs w:val="24"/>
              </w:rPr>
              <w:t xml:space="preserve">. Medellín, Antioquia, Colombia: Universidad de </w:t>
            </w:r>
            <w:proofErr w:type="spellStart"/>
            <w:r>
              <w:rPr>
                <w:color w:val="000000"/>
                <w:sz w:val="24"/>
                <w:szCs w:val="24"/>
              </w:rPr>
              <w:t>Antiquia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09BA515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Cisneros Estupiñán, M., Muñoz Dagua, C., &amp; Herrera, J. (2014). </w:t>
            </w:r>
            <w:r>
              <w:rPr>
                <w:i/>
                <w:color w:val="000000"/>
                <w:sz w:val="24"/>
                <w:szCs w:val="24"/>
              </w:rPr>
              <w:t>Perspectiva y prospectiva en los estudios sobre Lectura y Escritura.</w:t>
            </w:r>
            <w:r>
              <w:rPr>
                <w:color w:val="000000"/>
                <w:sz w:val="24"/>
                <w:szCs w:val="24"/>
              </w:rPr>
              <w:t xml:space="preserve"> Pereira: Universidad Tecnológica de Pereira.</w:t>
            </w:r>
          </w:p>
          <w:p w14:paraId="3E18CF0A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Escamilla Morales, J. (1998). Actitudes discursivas del hombre costeño. En J. E</w:t>
            </w:r>
            <w:r>
              <w:rPr>
                <w:color w:val="000000"/>
                <w:sz w:val="24"/>
                <w:szCs w:val="24"/>
              </w:rPr>
              <w:t xml:space="preserve">scamilla Morales, </w:t>
            </w:r>
            <w:r>
              <w:rPr>
                <w:i/>
                <w:color w:val="000000"/>
                <w:sz w:val="24"/>
                <w:szCs w:val="24"/>
              </w:rPr>
              <w:t xml:space="preserve">Fundamentos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semiolingüísticos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de la actividad discursiva</w:t>
            </w:r>
            <w:r>
              <w:rPr>
                <w:color w:val="000000"/>
                <w:sz w:val="24"/>
                <w:szCs w:val="24"/>
              </w:rPr>
              <w:t xml:space="preserve"> (págs. 69-78). Barranquilla: Universidad del Atlántico.</w:t>
            </w:r>
          </w:p>
          <w:p w14:paraId="58CB9AF8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Henry Vega, G., &amp; Morales </w:t>
            </w:r>
            <w:proofErr w:type="gramStart"/>
            <w:r>
              <w:rPr>
                <w:color w:val="000000"/>
                <w:sz w:val="24"/>
                <w:szCs w:val="24"/>
              </w:rPr>
              <w:t>Escorcia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E. (2012). La (des)cortesía en las relaciones amorosas de las canciones vallenatas. En J</w:t>
            </w:r>
            <w:r>
              <w:rPr>
                <w:color w:val="000000"/>
                <w:sz w:val="24"/>
                <w:szCs w:val="24"/>
              </w:rPr>
              <w:t>. Escamilla Morales, &amp; G. Henry Vega (</w:t>
            </w:r>
            <w:proofErr w:type="spellStart"/>
            <w:r>
              <w:rPr>
                <w:color w:val="000000"/>
                <w:sz w:val="24"/>
                <w:szCs w:val="24"/>
              </w:rPr>
              <w:t>Edits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.), </w:t>
            </w:r>
            <w:r>
              <w:rPr>
                <w:i/>
                <w:color w:val="000000"/>
                <w:sz w:val="24"/>
                <w:szCs w:val="24"/>
              </w:rPr>
              <w:t>Miradas multidisciplinares a los fenómenos de cortesía y descortesía en el mundo hispánico</w:t>
            </w:r>
            <w:r>
              <w:rPr>
                <w:color w:val="000000"/>
                <w:sz w:val="24"/>
                <w:szCs w:val="24"/>
              </w:rPr>
              <w:t xml:space="preserve"> (págs. 569-594). Barranquilla-Estocolmo: Universidad del Atlántico-Universidad de Estocolmo (</w:t>
            </w:r>
            <w:proofErr w:type="spellStart"/>
            <w:r>
              <w:rPr>
                <w:color w:val="000000"/>
                <w:sz w:val="24"/>
                <w:szCs w:val="24"/>
              </w:rPr>
              <w:t>Progrma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EDICE). </w:t>
            </w:r>
          </w:p>
          <w:p w14:paraId="160506A5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</w:t>
            </w:r>
            <w:r>
              <w:rPr>
                <w:color w:val="000000"/>
                <w:sz w:val="24"/>
                <w:szCs w:val="24"/>
              </w:rPr>
              <w:t xml:space="preserve">o Cervantes. (1997-2020). </w:t>
            </w:r>
            <w:r>
              <w:rPr>
                <w:i/>
                <w:color w:val="000000"/>
                <w:sz w:val="24"/>
                <w:szCs w:val="24"/>
              </w:rPr>
              <w:t>cvc.cervantes.es</w:t>
            </w:r>
            <w:r>
              <w:rPr>
                <w:color w:val="000000"/>
                <w:sz w:val="24"/>
                <w:szCs w:val="24"/>
              </w:rPr>
              <w:t>. Obtenido de cvc.cervantes.es: https://cvc.cervantes.es/ensenanza/biblioteca_ele/diccio_ele/ (</w:t>
            </w:r>
            <w:r>
              <w:rPr>
                <w:i/>
                <w:color w:val="000000"/>
                <w:sz w:val="24"/>
                <w:szCs w:val="24"/>
              </w:rPr>
              <w:t>Diccionario de términos clave de ELE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59DCA6A8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Jurado Valencia, F. (1997). </w:t>
            </w:r>
            <w:r>
              <w:rPr>
                <w:i/>
                <w:color w:val="000000"/>
                <w:sz w:val="24"/>
                <w:szCs w:val="24"/>
              </w:rPr>
              <w:t xml:space="preserve">Entre la lectura y la escritura: hacia la producción </w:t>
            </w:r>
            <w:r>
              <w:rPr>
                <w:i/>
                <w:color w:val="000000"/>
                <w:sz w:val="24"/>
                <w:szCs w:val="24"/>
              </w:rPr>
              <w:t>interactiva de los sentidos.</w:t>
            </w:r>
            <w:r>
              <w:rPr>
                <w:color w:val="000000"/>
                <w:sz w:val="24"/>
                <w:szCs w:val="24"/>
              </w:rPr>
              <w:t xml:space="preserve"> Bogotá: Magisterio.</w:t>
            </w:r>
          </w:p>
          <w:p w14:paraId="00F25626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Jurado Valencia, F. (1998). </w:t>
            </w:r>
            <w:r>
              <w:rPr>
                <w:i/>
                <w:color w:val="000000"/>
                <w:sz w:val="24"/>
                <w:szCs w:val="24"/>
              </w:rPr>
              <w:t>Juguemos a interpretar. Evaluación de competencias en lectura y escritura. Plan de Universalización de la Educación Básica Primaria.</w:t>
            </w:r>
            <w:r>
              <w:rPr>
                <w:color w:val="000000"/>
                <w:sz w:val="24"/>
                <w:szCs w:val="24"/>
              </w:rPr>
              <w:t xml:space="preserve"> Santa Fe de Bogotá: Plaza &amp; Janes Editores.</w:t>
            </w:r>
          </w:p>
          <w:p w14:paraId="6BDF9E7C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Paredes, E. (2002). </w:t>
            </w:r>
            <w:r>
              <w:rPr>
                <w:i/>
                <w:color w:val="000000"/>
                <w:sz w:val="24"/>
                <w:szCs w:val="24"/>
              </w:rPr>
              <w:t>Prontuario de lectura, lingüística, redacción, comunicación</w:t>
            </w:r>
            <w:r>
              <w:rPr>
                <w:i/>
                <w:color w:val="000000"/>
                <w:sz w:val="24"/>
                <w:szCs w:val="24"/>
              </w:rPr>
              <w:t xml:space="preserve"> oral y nociones de literatura.</w:t>
            </w:r>
            <w:r>
              <w:rPr>
                <w:color w:val="000000"/>
                <w:sz w:val="24"/>
                <w:szCs w:val="24"/>
              </w:rPr>
              <w:t xml:space="preserve"> México: Limusa Noriega Editores.</w:t>
            </w:r>
          </w:p>
          <w:p w14:paraId="7CCFDB1A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Sánchez Upegui, A. A. (2011). </w:t>
            </w:r>
            <w:r>
              <w:rPr>
                <w:i/>
                <w:color w:val="000000"/>
                <w:sz w:val="24"/>
                <w:szCs w:val="24"/>
              </w:rPr>
              <w:t>Manual de redacción académica e investigativa: cómo escribir, evaluar y publicar artículos.</w:t>
            </w:r>
            <w:r>
              <w:rPr>
                <w:color w:val="000000"/>
                <w:sz w:val="24"/>
                <w:szCs w:val="24"/>
              </w:rPr>
              <w:t xml:space="preserve"> Medellín: Católica del Norte Fundación </w:t>
            </w:r>
            <w:proofErr w:type="spellStart"/>
            <w:r>
              <w:rPr>
                <w:color w:val="000000"/>
                <w:sz w:val="24"/>
                <w:szCs w:val="24"/>
              </w:rPr>
              <w:t>Uiversitaria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D157AF1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Torres Fontalvo,</w:t>
            </w:r>
            <w:r>
              <w:rPr>
                <w:color w:val="000000"/>
                <w:sz w:val="24"/>
                <w:szCs w:val="24"/>
              </w:rPr>
              <w:t xml:space="preserve"> Y., &amp; Rodríguez Cadena, Y. (2017). La atenuación en Barranquilla: estudio sociopragmático. </w:t>
            </w:r>
            <w:r>
              <w:rPr>
                <w:i/>
                <w:color w:val="000000"/>
                <w:sz w:val="24"/>
                <w:szCs w:val="24"/>
              </w:rPr>
              <w:t xml:space="preserve">Cuadernos de Lingüística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Hispánica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30), 55-79.</w:t>
            </w:r>
          </w:p>
          <w:p w14:paraId="4C1A4B30" w14:textId="77777777" w:rsidR="005556F7" w:rsidRDefault="0088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Trillos Amaya, M. (2001). Ayer y hoy del Caribe de Colombia en sus lenguas. En A. Castillo Mier (Ed.), </w:t>
            </w:r>
            <w:r>
              <w:rPr>
                <w:i/>
                <w:color w:val="000000"/>
                <w:sz w:val="24"/>
                <w:szCs w:val="24"/>
              </w:rPr>
              <w:t xml:space="preserve">Respirando el </w:t>
            </w:r>
            <w:r>
              <w:rPr>
                <w:i/>
                <w:color w:val="000000"/>
                <w:sz w:val="24"/>
                <w:szCs w:val="24"/>
              </w:rPr>
              <w:t>Caribe</w:t>
            </w:r>
            <w:r>
              <w:rPr>
                <w:color w:val="000000"/>
                <w:sz w:val="24"/>
                <w:szCs w:val="24"/>
              </w:rPr>
              <w:t xml:space="preserve"> (págs. 153-180). Bogotá: Observatorio del Caribe colombiano- Fondo de publicaciones de la Universidad del Atlántico.</w:t>
            </w:r>
          </w:p>
        </w:tc>
      </w:tr>
    </w:tbl>
    <w:p w14:paraId="0ADCEDC5" w14:textId="77777777" w:rsidR="005556F7" w:rsidRDefault="005556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9A4F6B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2E5A632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F259C57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0EB76B8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43644C3" w14:textId="77777777" w:rsidR="005556F7" w:rsidRDefault="005556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0F8D776" w14:textId="77777777" w:rsidR="005556F7" w:rsidRDefault="005556F7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5556F7">
      <w:head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8996" w14:textId="77777777" w:rsidR="0088691D" w:rsidRDefault="0088691D">
      <w:r>
        <w:separator/>
      </w:r>
    </w:p>
  </w:endnote>
  <w:endnote w:type="continuationSeparator" w:id="0">
    <w:p w14:paraId="765DD984" w14:textId="77777777" w:rsidR="0088691D" w:rsidRDefault="0088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AEC9" w14:textId="77777777" w:rsidR="005556F7" w:rsidRDefault="008869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ndara" w:eastAsia="Candara" w:hAnsi="Candara" w:cs="Candara"/>
        <w:color w:val="000000"/>
        <w:sz w:val="20"/>
        <w:szCs w:val="20"/>
      </w:rPr>
    </w:pPr>
    <w:r>
      <w:rPr>
        <w:rFonts w:ascii="Candara" w:eastAsia="Candara" w:hAnsi="Candara" w:cs="Candara"/>
        <w:color w:val="000000"/>
        <w:sz w:val="20"/>
        <w:szCs w:val="20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6653" w14:textId="77777777" w:rsidR="0088691D" w:rsidRDefault="0088691D">
      <w:r>
        <w:separator/>
      </w:r>
    </w:p>
  </w:footnote>
  <w:footnote w:type="continuationSeparator" w:id="0">
    <w:p w14:paraId="5FA777B7" w14:textId="77777777" w:rsidR="0088691D" w:rsidRDefault="0088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4BDB" w14:textId="77777777" w:rsidR="005556F7" w:rsidRDefault="005556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739"/>
      <w:gridCol w:w="2089"/>
    </w:tblGrid>
    <w:tr w:rsidR="005556F7" w14:paraId="60D14324" w14:textId="77777777">
      <w:trPr>
        <w:trHeight w:val="132"/>
      </w:trPr>
      <w:tc>
        <w:tcPr>
          <w:tcW w:w="6739" w:type="dxa"/>
          <w:vMerge w:val="restart"/>
        </w:tcPr>
        <w:p w14:paraId="17FC0034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68BE349" wp14:editId="0F9B2497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9" w:type="dxa"/>
        </w:tcPr>
        <w:p w14:paraId="39A09718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CÓDIGO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>: FOR-DO-020</w:t>
          </w:r>
        </w:p>
      </w:tc>
    </w:tr>
    <w:tr w:rsidR="005556F7" w14:paraId="1548EB36" w14:textId="77777777">
      <w:trPr>
        <w:trHeight w:val="314"/>
      </w:trPr>
      <w:tc>
        <w:tcPr>
          <w:tcW w:w="6739" w:type="dxa"/>
          <w:vMerge/>
        </w:tcPr>
        <w:p w14:paraId="5709AA99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089" w:type="dxa"/>
          <w:vAlign w:val="center"/>
        </w:tcPr>
        <w:p w14:paraId="28E2865A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VERSION: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01</w:t>
          </w:r>
        </w:p>
      </w:tc>
    </w:tr>
    <w:tr w:rsidR="005556F7" w14:paraId="1A4E75BE" w14:textId="77777777">
      <w:tc>
        <w:tcPr>
          <w:tcW w:w="6739" w:type="dxa"/>
          <w:vMerge/>
        </w:tcPr>
        <w:p w14:paraId="29743928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089" w:type="dxa"/>
        </w:tcPr>
        <w:p w14:paraId="6AC17265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FECHA: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06/09/2016</w:t>
          </w:r>
        </w:p>
      </w:tc>
    </w:tr>
    <w:tr w:rsidR="005556F7" w14:paraId="78636D75" w14:textId="77777777">
      <w:tc>
        <w:tcPr>
          <w:tcW w:w="8828" w:type="dxa"/>
          <w:gridSpan w:val="2"/>
        </w:tcPr>
        <w:p w14:paraId="4F07C6D3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FORMATO CONTENIDO DE CURSO O SÍLABO</w:t>
          </w:r>
        </w:p>
      </w:tc>
    </w:tr>
  </w:tbl>
  <w:p w14:paraId="196B156C" w14:textId="77777777"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FE3B" w14:textId="77777777" w:rsidR="005556F7" w:rsidRDefault="005556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9"/>
      <w:tblW w:w="9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65"/>
      <w:gridCol w:w="4489"/>
    </w:tblGrid>
    <w:tr w:rsidR="005556F7" w14:paraId="3EF71539" w14:textId="77777777">
      <w:trPr>
        <w:trHeight w:val="132"/>
      </w:trPr>
      <w:tc>
        <w:tcPr>
          <w:tcW w:w="4565" w:type="dxa"/>
          <w:vMerge w:val="restart"/>
        </w:tcPr>
        <w:p w14:paraId="1571F028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DD769C1" wp14:editId="5C00F418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9" w:type="dxa"/>
        </w:tcPr>
        <w:p w14:paraId="4F16F663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CÓDIGO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>: FOR-DO-020</w:t>
          </w:r>
        </w:p>
      </w:tc>
    </w:tr>
    <w:tr w:rsidR="005556F7" w14:paraId="631674B2" w14:textId="77777777">
      <w:trPr>
        <w:trHeight w:val="314"/>
      </w:trPr>
      <w:tc>
        <w:tcPr>
          <w:tcW w:w="4565" w:type="dxa"/>
          <w:vMerge/>
        </w:tcPr>
        <w:p w14:paraId="27F5FCB5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4489" w:type="dxa"/>
          <w:vAlign w:val="center"/>
        </w:tcPr>
        <w:p w14:paraId="22EC6CCB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VERSION: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01</w:t>
          </w:r>
        </w:p>
      </w:tc>
    </w:tr>
    <w:tr w:rsidR="005556F7" w14:paraId="7A3710BA" w14:textId="77777777">
      <w:tc>
        <w:tcPr>
          <w:tcW w:w="4565" w:type="dxa"/>
          <w:vMerge/>
        </w:tcPr>
        <w:p w14:paraId="6F87BF68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4489" w:type="dxa"/>
        </w:tcPr>
        <w:p w14:paraId="45C6E474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FECHA: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26/08/2016</w:t>
          </w:r>
        </w:p>
      </w:tc>
    </w:tr>
    <w:tr w:rsidR="005556F7" w14:paraId="13E18ADC" w14:textId="77777777">
      <w:tc>
        <w:tcPr>
          <w:tcW w:w="9054" w:type="dxa"/>
          <w:gridSpan w:val="2"/>
        </w:tcPr>
        <w:p w14:paraId="2D89A090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FORMATO CONTENIDO DE CURSO O SÍLABO</w:t>
          </w:r>
        </w:p>
      </w:tc>
    </w:tr>
  </w:tbl>
  <w:p w14:paraId="4E98C588" w14:textId="77777777"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DEC14E" w14:textId="77777777"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094C" w14:textId="77777777" w:rsidR="005556F7" w:rsidRDefault="005556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129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18"/>
      <w:gridCol w:w="2578"/>
    </w:tblGrid>
    <w:tr w:rsidR="005556F7" w14:paraId="0222E6CF" w14:textId="77777777">
      <w:trPr>
        <w:trHeight w:val="132"/>
      </w:trPr>
      <w:tc>
        <w:tcPr>
          <w:tcW w:w="10418" w:type="dxa"/>
          <w:vMerge w:val="restart"/>
        </w:tcPr>
        <w:p w14:paraId="7D7FB339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2BA11489" wp14:editId="5D9DA11D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78" w:type="dxa"/>
        </w:tcPr>
        <w:p w14:paraId="270B9369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CÓDIGO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>: FOR-DO-020</w:t>
          </w:r>
        </w:p>
      </w:tc>
    </w:tr>
    <w:tr w:rsidR="005556F7" w14:paraId="39F86782" w14:textId="77777777">
      <w:trPr>
        <w:trHeight w:val="314"/>
      </w:trPr>
      <w:tc>
        <w:tcPr>
          <w:tcW w:w="10418" w:type="dxa"/>
          <w:vMerge/>
        </w:tcPr>
        <w:p w14:paraId="0FFD4781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578" w:type="dxa"/>
          <w:vAlign w:val="center"/>
        </w:tcPr>
        <w:p w14:paraId="02ACCB1A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VERSION: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01</w:t>
          </w:r>
        </w:p>
      </w:tc>
    </w:tr>
    <w:tr w:rsidR="005556F7" w14:paraId="35AEF5AF" w14:textId="77777777">
      <w:tc>
        <w:tcPr>
          <w:tcW w:w="10418" w:type="dxa"/>
          <w:vMerge/>
        </w:tcPr>
        <w:p w14:paraId="09A7AF83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578" w:type="dxa"/>
        </w:tcPr>
        <w:p w14:paraId="0104F170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FECHA: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06/09/2016</w:t>
          </w:r>
        </w:p>
      </w:tc>
    </w:tr>
    <w:tr w:rsidR="005556F7" w14:paraId="5ED940BE" w14:textId="77777777">
      <w:tc>
        <w:tcPr>
          <w:tcW w:w="12996" w:type="dxa"/>
          <w:gridSpan w:val="2"/>
        </w:tcPr>
        <w:p w14:paraId="1414038F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FORMATO CONTENIDO DE CURSO O SÍLABO</w:t>
          </w:r>
        </w:p>
      </w:tc>
    </w:tr>
  </w:tbl>
  <w:p w14:paraId="4F9590EA" w14:textId="77777777"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443C" w14:textId="77777777" w:rsidR="005556F7" w:rsidRDefault="005556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739"/>
      <w:gridCol w:w="2089"/>
    </w:tblGrid>
    <w:tr w:rsidR="005556F7" w14:paraId="77882BC6" w14:textId="77777777">
      <w:trPr>
        <w:trHeight w:val="132"/>
      </w:trPr>
      <w:tc>
        <w:tcPr>
          <w:tcW w:w="6739" w:type="dxa"/>
          <w:vMerge w:val="restart"/>
        </w:tcPr>
        <w:p w14:paraId="513C9CA5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hidden="0" allowOverlap="1" wp14:anchorId="033AAB1B" wp14:editId="7CC2EEEA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9" w:type="dxa"/>
        </w:tcPr>
        <w:p w14:paraId="1D5240AF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CÓDIGO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>: FOR-DO-020</w:t>
          </w:r>
        </w:p>
      </w:tc>
    </w:tr>
    <w:tr w:rsidR="005556F7" w14:paraId="14B0D148" w14:textId="77777777">
      <w:trPr>
        <w:trHeight w:val="314"/>
      </w:trPr>
      <w:tc>
        <w:tcPr>
          <w:tcW w:w="6739" w:type="dxa"/>
          <w:vMerge/>
        </w:tcPr>
        <w:p w14:paraId="3E043F98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089" w:type="dxa"/>
          <w:vAlign w:val="center"/>
        </w:tcPr>
        <w:p w14:paraId="44087D04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VERSION: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01</w:t>
          </w:r>
        </w:p>
      </w:tc>
    </w:tr>
    <w:tr w:rsidR="005556F7" w14:paraId="1ABB1343" w14:textId="77777777">
      <w:tc>
        <w:tcPr>
          <w:tcW w:w="6739" w:type="dxa"/>
          <w:vMerge/>
        </w:tcPr>
        <w:p w14:paraId="5E596DED" w14:textId="77777777" w:rsidR="005556F7" w:rsidRDefault="005556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089" w:type="dxa"/>
        </w:tcPr>
        <w:p w14:paraId="27DB14D6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FECHA: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06/09/2016</w:t>
          </w:r>
        </w:p>
      </w:tc>
    </w:tr>
    <w:tr w:rsidR="005556F7" w14:paraId="1A208F32" w14:textId="77777777">
      <w:tc>
        <w:tcPr>
          <w:tcW w:w="8828" w:type="dxa"/>
          <w:gridSpan w:val="2"/>
        </w:tcPr>
        <w:p w14:paraId="15DEA9B0" w14:textId="77777777" w:rsidR="005556F7" w:rsidRDefault="00886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FORMATO CONTENIDO DE CURSO O SÍLABO</w:t>
          </w:r>
        </w:p>
      </w:tc>
    </w:tr>
  </w:tbl>
  <w:p w14:paraId="6E2224DD" w14:textId="77777777"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959"/>
    <w:multiLevelType w:val="multilevel"/>
    <w:tmpl w:val="1F542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35764"/>
    <w:multiLevelType w:val="multilevel"/>
    <w:tmpl w:val="A04A9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EB00F6"/>
    <w:multiLevelType w:val="multilevel"/>
    <w:tmpl w:val="1C122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77709F"/>
    <w:multiLevelType w:val="multilevel"/>
    <w:tmpl w:val="BA98C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7EFB"/>
    <w:multiLevelType w:val="multilevel"/>
    <w:tmpl w:val="6A4EC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C5435C"/>
    <w:multiLevelType w:val="multilevel"/>
    <w:tmpl w:val="D27EDF8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6572"/>
    <w:multiLevelType w:val="multilevel"/>
    <w:tmpl w:val="45A8A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39265F"/>
    <w:multiLevelType w:val="multilevel"/>
    <w:tmpl w:val="84CC0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7"/>
    <w:rsid w:val="005556F7"/>
    <w:rsid w:val="0088691D"/>
    <w:rsid w:val="00B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E400"/>
  <w15:docId w15:val="{9AD853CA-88BF-4D4B-884A-BC9EE25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SEADLEN</dc:creator>
  <cp:lastModifiedBy>SEADLEN</cp:lastModifiedBy>
  <cp:revision>2</cp:revision>
  <dcterms:created xsi:type="dcterms:W3CDTF">2020-11-25T01:00:00Z</dcterms:created>
  <dcterms:modified xsi:type="dcterms:W3CDTF">2020-11-25T01:00:00Z</dcterms:modified>
</cp:coreProperties>
</file>