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E5" w:rsidRDefault="00AA48E5" w:rsidP="00AA48E5">
      <w:pPr>
        <w:rPr>
          <w:rFonts w:ascii="Arial" w:hAnsi="Arial" w:cs="Arial"/>
        </w:rPr>
      </w:pPr>
    </w:p>
    <w:p w:rsidR="00AD3D8A" w:rsidRDefault="00AD3D8A" w:rsidP="00AA48E5">
      <w:pPr>
        <w:rPr>
          <w:rFonts w:ascii="Arial" w:hAnsi="Arial" w:cs="Arial"/>
        </w:rPr>
      </w:pPr>
    </w:p>
    <w:p w:rsidR="00AD3D8A" w:rsidRPr="00DF3A54" w:rsidRDefault="00AD3D8A" w:rsidP="00AA48E5">
      <w:pPr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  <w:b/>
        </w:rPr>
      </w:pPr>
      <w:r w:rsidRPr="00DF3A54">
        <w:rPr>
          <w:rFonts w:ascii="Arial" w:hAnsi="Arial" w:cs="Arial"/>
          <w:b/>
        </w:rPr>
        <w:t xml:space="preserve">INFORME DE CONTROL INTERNO </w:t>
      </w:r>
      <w:r w:rsidR="00530A74" w:rsidRPr="00DF3A54">
        <w:rPr>
          <w:rFonts w:ascii="Arial" w:hAnsi="Arial" w:cs="Arial"/>
          <w:b/>
        </w:rPr>
        <w:t xml:space="preserve">DEL PROCESO </w:t>
      </w:r>
      <w:r w:rsidR="00694DC4">
        <w:rPr>
          <w:rFonts w:ascii="Arial" w:hAnsi="Arial" w:cs="Arial"/>
          <w:b/>
        </w:rPr>
        <w:t>RELACIONES INTERINSTITUCIONALES E INTERNACIONALES</w:t>
      </w:r>
    </w:p>
    <w:p w:rsidR="00AA48E5" w:rsidRPr="00DF3A54" w:rsidRDefault="00AA48E5" w:rsidP="00AA48E5">
      <w:pPr>
        <w:jc w:val="center"/>
        <w:rPr>
          <w:rFonts w:ascii="Arial" w:hAnsi="Arial" w:cs="Arial"/>
          <w:b/>
        </w:rPr>
      </w:pPr>
    </w:p>
    <w:p w:rsidR="00AA48E5" w:rsidRPr="00DF3A54" w:rsidRDefault="00AA48E5" w:rsidP="00AA48E5">
      <w:pPr>
        <w:jc w:val="center"/>
        <w:rPr>
          <w:rFonts w:ascii="Arial" w:hAnsi="Arial" w:cs="Arial"/>
          <w:b/>
        </w:rPr>
      </w:pPr>
    </w:p>
    <w:p w:rsidR="00AA48E5" w:rsidRPr="00DF3A54" w:rsidRDefault="00AA48E5" w:rsidP="00AA48E5">
      <w:pPr>
        <w:jc w:val="center"/>
        <w:rPr>
          <w:rFonts w:ascii="Arial" w:hAnsi="Arial" w:cs="Arial"/>
          <w:b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  <w:r w:rsidRPr="00DF3A54">
        <w:rPr>
          <w:rFonts w:ascii="Arial" w:hAnsi="Arial" w:cs="Arial"/>
        </w:rPr>
        <w:t>Doctor</w:t>
      </w:r>
      <w:r w:rsidR="00530A74" w:rsidRPr="00DF3A54">
        <w:rPr>
          <w:rFonts w:ascii="Arial" w:hAnsi="Arial" w:cs="Arial"/>
        </w:rPr>
        <w:t xml:space="preserve"> </w:t>
      </w:r>
    </w:p>
    <w:p w:rsidR="00530A74" w:rsidRPr="00DF3A54" w:rsidRDefault="00530A74" w:rsidP="00AA48E5">
      <w:pPr>
        <w:jc w:val="center"/>
        <w:rPr>
          <w:rFonts w:ascii="Arial" w:hAnsi="Arial" w:cs="Arial"/>
          <w:b/>
        </w:rPr>
      </w:pPr>
      <w:r w:rsidRPr="00DF3A54">
        <w:rPr>
          <w:rFonts w:ascii="Arial" w:hAnsi="Arial" w:cs="Arial"/>
          <w:b/>
        </w:rPr>
        <w:t>CARLOS</w:t>
      </w:r>
      <w:r w:rsidR="00AD3D8A">
        <w:rPr>
          <w:rFonts w:ascii="Arial" w:hAnsi="Arial" w:cs="Arial"/>
          <w:b/>
        </w:rPr>
        <w:t xml:space="preserve"> JAVIER</w:t>
      </w:r>
      <w:r w:rsidRPr="00DF3A54">
        <w:rPr>
          <w:rFonts w:ascii="Arial" w:hAnsi="Arial" w:cs="Arial"/>
          <w:b/>
        </w:rPr>
        <w:t xml:space="preserve"> PRASCA MUÑOZ</w:t>
      </w:r>
    </w:p>
    <w:p w:rsidR="00B22205" w:rsidRPr="00DF3A54" w:rsidRDefault="00B2220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  <w:r w:rsidRPr="00DF3A54">
        <w:rPr>
          <w:rFonts w:ascii="Arial" w:hAnsi="Arial" w:cs="Arial"/>
        </w:rPr>
        <w:t>Rector</w:t>
      </w: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Default="00AA48E5" w:rsidP="00AA48E5">
      <w:pPr>
        <w:jc w:val="center"/>
        <w:rPr>
          <w:rFonts w:ascii="Arial" w:hAnsi="Arial" w:cs="Arial"/>
        </w:rPr>
      </w:pPr>
    </w:p>
    <w:p w:rsidR="00AD3D8A" w:rsidRDefault="00AD3D8A" w:rsidP="00AA48E5">
      <w:pPr>
        <w:jc w:val="center"/>
        <w:rPr>
          <w:rFonts w:ascii="Arial" w:hAnsi="Arial" w:cs="Arial"/>
        </w:rPr>
      </w:pPr>
    </w:p>
    <w:p w:rsidR="00AD3D8A" w:rsidRDefault="00AD3D8A" w:rsidP="00AA48E5">
      <w:pPr>
        <w:jc w:val="center"/>
        <w:rPr>
          <w:rFonts w:ascii="Arial" w:hAnsi="Arial" w:cs="Arial"/>
        </w:rPr>
      </w:pPr>
    </w:p>
    <w:p w:rsidR="00AD3D8A" w:rsidRPr="00DF3A54" w:rsidRDefault="00AD3D8A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  <w:r w:rsidRPr="00DF3A54">
        <w:rPr>
          <w:rFonts w:ascii="Arial" w:hAnsi="Arial" w:cs="Arial"/>
        </w:rPr>
        <w:t>De:</w:t>
      </w:r>
    </w:p>
    <w:p w:rsidR="00AA48E5" w:rsidRPr="00DF3A54" w:rsidRDefault="00B22205" w:rsidP="00AA48E5">
      <w:pPr>
        <w:jc w:val="center"/>
        <w:rPr>
          <w:rFonts w:ascii="Arial" w:hAnsi="Arial" w:cs="Arial"/>
          <w:b/>
        </w:rPr>
      </w:pPr>
      <w:r w:rsidRPr="00DF3A54">
        <w:rPr>
          <w:rFonts w:ascii="Arial" w:hAnsi="Arial" w:cs="Arial"/>
          <w:b/>
        </w:rPr>
        <w:t xml:space="preserve"> </w:t>
      </w:r>
      <w:r w:rsidR="00D74E0F">
        <w:rPr>
          <w:rFonts w:ascii="Arial" w:hAnsi="Arial" w:cs="Arial"/>
          <w:b/>
        </w:rPr>
        <w:t>LUIS ENRIQUE GÓMEZ ISSA</w:t>
      </w:r>
    </w:p>
    <w:p w:rsidR="00AA48E5" w:rsidRPr="00DF3A54" w:rsidRDefault="00AA48E5" w:rsidP="00AA48E5">
      <w:pPr>
        <w:jc w:val="center"/>
        <w:rPr>
          <w:rFonts w:ascii="Arial" w:hAnsi="Arial" w:cs="Arial"/>
        </w:rPr>
      </w:pPr>
      <w:r w:rsidRPr="00DF3A54">
        <w:rPr>
          <w:rFonts w:ascii="Arial" w:hAnsi="Arial" w:cs="Arial"/>
        </w:rPr>
        <w:t>Jefe Oficina de Control Interno</w:t>
      </w: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Default="00AA48E5" w:rsidP="00AA48E5">
      <w:pPr>
        <w:jc w:val="center"/>
        <w:rPr>
          <w:rFonts w:ascii="Arial" w:hAnsi="Arial" w:cs="Arial"/>
        </w:rPr>
      </w:pPr>
    </w:p>
    <w:p w:rsidR="00AD3D8A" w:rsidRDefault="00AD3D8A" w:rsidP="00AA48E5">
      <w:pPr>
        <w:jc w:val="center"/>
        <w:rPr>
          <w:rFonts w:ascii="Arial" w:hAnsi="Arial" w:cs="Arial"/>
        </w:rPr>
      </w:pPr>
    </w:p>
    <w:p w:rsidR="00AD3D8A" w:rsidRDefault="00AD3D8A" w:rsidP="00AA48E5">
      <w:pPr>
        <w:jc w:val="center"/>
        <w:rPr>
          <w:rFonts w:ascii="Arial" w:hAnsi="Arial" w:cs="Arial"/>
        </w:rPr>
      </w:pPr>
    </w:p>
    <w:p w:rsidR="00AD3D8A" w:rsidRDefault="00AD3D8A" w:rsidP="00AA48E5">
      <w:pPr>
        <w:jc w:val="center"/>
        <w:rPr>
          <w:rFonts w:ascii="Arial" w:hAnsi="Arial" w:cs="Arial"/>
        </w:rPr>
      </w:pPr>
    </w:p>
    <w:p w:rsidR="00AD3D8A" w:rsidRPr="00DF3A54" w:rsidRDefault="00AD3D8A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  <w:r w:rsidRPr="00DF3A54">
        <w:rPr>
          <w:rFonts w:ascii="Arial" w:hAnsi="Arial" w:cs="Arial"/>
        </w:rPr>
        <w:t xml:space="preserve">Barranquilla, </w:t>
      </w:r>
      <w:r w:rsidR="00341689">
        <w:rPr>
          <w:rFonts w:ascii="Arial" w:hAnsi="Arial" w:cs="Arial"/>
        </w:rPr>
        <w:t>diciembre</w:t>
      </w:r>
      <w:r w:rsidR="000F486D">
        <w:rPr>
          <w:rFonts w:ascii="Arial" w:hAnsi="Arial" w:cs="Arial"/>
        </w:rPr>
        <w:t xml:space="preserve"> </w:t>
      </w:r>
      <w:r w:rsidR="00092DE6">
        <w:rPr>
          <w:rFonts w:ascii="Arial" w:hAnsi="Arial" w:cs="Arial"/>
        </w:rPr>
        <w:t>de 2017</w:t>
      </w: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jc w:val="center"/>
        <w:rPr>
          <w:rFonts w:ascii="Arial" w:hAnsi="Arial" w:cs="Arial"/>
        </w:rPr>
      </w:pPr>
    </w:p>
    <w:p w:rsidR="00AA48E5" w:rsidRPr="00DF3A54" w:rsidRDefault="00AA48E5" w:rsidP="00AA48E5">
      <w:pPr>
        <w:ind w:left="360"/>
        <w:rPr>
          <w:rFonts w:ascii="Arial" w:hAnsi="Arial" w:cs="Arial"/>
        </w:rPr>
      </w:pPr>
    </w:p>
    <w:p w:rsidR="00AA48E5" w:rsidRPr="00DF3A54" w:rsidRDefault="00AA48E5" w:rsidP="00AA48E5">
      <w:pPr>
        <w:ind w:left="360"/>
        <w:rPr>
          <w:rFonts w:ascii="Arial" w:hAnsi="Arial" w:cs="Arial"/>
        </w:rPr>
      </w:pPr>
    </w:p>
    <w:p w:rsidR="00FF5B35" w:rsidRPr="00DF3A54" w:rsidRDefault="00AA48E5" w:rsidP="00747188">
      <w:pPr>
        <w:ind w:left="360"/>
        <w:jc w:val="both"/>
        <w:rPr>
          <w:rFonts w:ascii="Arial" w:hAnsi="Arial" w:cs="Arial"/>
          <w:b/>
        </w:rPr>
      </w:pPr>
      <w:r w:rsidRPr="00DF3A54">
        <w:rPr>
          <w:rFonts w:ascii="Arial" w:hAnsi="Arial" w:cs="Arial"/>
          <w:b/>
        </w:rPr>
        <w:lastRenderedPageBreak/>
        <w:t>1.  JUSTIFICACION</w:t>
      </w:r>
    </w:p>
    <w:p w:rsidR="00AA48E5" w:rsidRDefault="00AA48E5" w:rsidP="00747188">
      <w:pPr>
        <w:jc w:val="both"/>
        <w:rPr>
          <w:rFonts w:ascii="Arial" w:hAnsi="Arial" w:cs="Arial"/>
        </w:rPr>
      </w:pPr>
    </w:p>
    <w:p w:rsidR="002C7614" w:rsidRDefault="00DC1CF8" w:rsidP="00747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cumplimiento al cronograma de auditorías del año 2017, se presenta el siguiente informe, resultado de la auditoría realizada al proceso Relaciones Interinstitucionales e internacionales.</w:t>
      </w:r>
    </w:p>
    <w:p w:rsidR="00DC1CF8" w:rsidRDefault="00DC1CF8" w:rsidP="00747188">
      <w:pPr>
        <w:jc w:val="both"/>
        <w:rPr>
          <w:rFonts w:ascii="Arial" w:hAnsi="Arial" w:cs="Arial"/>
        </w:rPr>
      </w:pPr>
    </w:p>
    <w:p w:rsidR="00DC1CF8" w:rsidRPr="00DF3A54" w:rsidRDefault="00DC1CF8" w:rsidP="00747188">
      <w:pPr>
        <w:jc w:val="both"/>
        <w:rPr>
          <w:rFonts w:ascii="Arial" w:hAnsi="Arial" w:cs="Arial"/>
        </w:rPr>
      </w:pPr>
    </w:p>
    <w:p w:rsidR="00AA48E5" w:rsidRPr="00DF3A54" w:rsidRDefault="00AA48E5" w:rsidP="00747188">
      <w:pPr>
        <w:ind w:left="360"/>
        <w:jc w:val="both"/>
        <w:rPr>
          <w:rFonts w:ascii="Arial" w:hAnsi="Arial" w:cs="Arial"/>
          <w:b/>
        </w:rPr>
      </w:pPr>
      <w:r w:rsidRPr="00DF3A54">
        <w:rPr>
          <w:rFonts w:ascii="Arial" w:hAnsi="Arial" w:cs="Arial"/>
          <w:b/>
        </w:rPr>
        <w:t>2.  ALCANCE</w:t>
      </w:r>
    </w:p>
    <w:p w:rsidR="00AA48E5" w:rsidRPr="00DF3A54" w:rsidRDefault="00AA48E5" w:rsidP="00747188">
      <w:pPr>
        <w:jc w:val="both"/>
        <w:rPr>
          <w:rFonts w:ascii="Arial" w:hAnsi="Arial" w:cs="Arial"/>
        </w:rPr>
      </w:pPr>
    </w:p>
    <w:p w:rsidR="00F872D0" w:rsidRDefault="00F872D0" w:rsidP="00F872D0">
      <w:pPr>
        <w:jc w:val="both"/>
        <w:rPr>
          <w:rFonts w:ascii="Arial" w:hAnsi="Arial" w:cs="Arial"/>
        </w:rPr>
      </w:pPr>
      <w:r w:rsidRPr="00BE5766">
        <w:rPr>
          <w:rFonts w:ascii="Arial" w:hAnsi="Arial" w:cs="Arial"/>
        </w:rPr>
        <w:t>La presente auditoria abarca:</w:t>
      </w:r>
    </w:p>
    <w:p w:rsidR="00F872D0" w:rsidRPr="00BE5766" w:rsidRDefault="00F872D0" w:rsidP="00F872D0">
      <w:pPr>
        <w:jc w:val="both"/>
        <w:rPr>
          <w:rFonts w:ascii="Arial" w:hAnsi="Arial" w:cs="Arial"/>
        </w:rPr>
      </w:pPr>
    </w:p>
    <w:p w:rsidR="00F872D0" w:rsidRDefault="00F872D0" w:rsidP="00F872D0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 xml:space="preserve">Plan de Mejoramiento resultado de la auditoría realizada </w:t>
      </w:r>
      <w:r>
        <w:rPr>
          <w:rFonts w:ascii="Arial" w:hAnsi="Arial" w:cs="Arial"/>
        </w:rPr>
        <w:t>en el año</w:t>
      </w:r>
      <w:r w:rsidR="00B309BC">
        <w:rPr>
          <w:rFonts w:ascii="Arial" w:hAnsi="Arial" w:cs="Arial"/>
        </w:rPr>
        <w:t xml:space="preserve"> 2015</w:t>
      </w:r>
      <w:r w:rsidRPr="002C7614">
        <w:rPr>
          <w:rFonts w:ascii="Arial" w:hAnsi="Arial" w:cs="Arial"/>
        </w:rPr>
        <w:t xml:space="preserve"> por parte de la Oficina de Control Interno. </w:t>
      </w:r>
    </w:p>
    <w:p w:rsidR="00341689" w:rsidRDefault="00341689" w:rsidP="00341689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 de Acción 2015 – 2017</w:t>
      </w:r>
    </w:p>
    <w:p w:rsidR="00341689" w:rsidRPr="00341689" w:rsidRDefault="00341689" w:rsidP="00341689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C7614">
        <w:rPr>
          <w:rFonts w:ascii="Arial" w:hAnsi="Arial" w:cs="Arial"/>
        </w:rPr>
        <w:t>ndicadores de Gestión.</w:t>
      </w:r>
    </w:p>
    <w:p w:rsidR="00F872D0" w:rsidRPr="002C7614" w:rsidRDefault="00F872D0" w:rsidP="00F872D0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Matriz de Riesgos.</w:t>
      </w:r>
    </w:p>
    <w:p w:rsidR="002C7614" w:rsidRDefault="002C7614" w:rsidP="00747188">
      <w:pPr>
        <w:jc w:val="both"/>
        <w:rPr>
          <w:rFonts w:ascii="Arial" w:hAnsi="Arial" w:cs="Arial"/>
        </w:rPr>
      </w:pPr>
    </w:p>
    <w:p w:rsidR="002C7614" w:rsidRPr="00DF3A54" w:rsidRDefault="002C7614" w:rsidP="00747188">
      <w:pPr>
        <w:jc w:val="both"/>
        <w:rPr>
          <w:rFonts w:ascii="Arial" w:hAnsi="Arial" w:cs="Arial"/>
        </w:rPr>
      </w:pPr>
    </w:p>
    <w:p w:rsidR="00AA48E5" w:rsidRPr="00DF3A54" w:rsidRDefault="00AA48E5" w:rsidP="00747188">
      <w:pPr>
        <w:ind w:left="360"/>
        <w:jc w:val="both"/>
        <w:rPr>
          <w:rFonts w:ascii="Arial" w:hAnsi="Arial" w:cs="Arial"/>
          <w:b/>
        </w:rPr>
      </w:pPr>
      <w:r w:rsidRPr="00DF3A54">
        <w:rPr>
          <w:rFonts w:ascii="Arial" w:hAnsi="Arial" w:cs="Arial"/>
          <w:b/>
        </w:rPr>
        <w:t>3.  FUENTES DE INF</w:t>
      </w:r>
      <w:r w:rsidR="00010C5C" w:rsidRPr="00DF3A54">
        <w:rPr>
          <w:rFonts w:ascii="Arial" w:hAnsi="Arial" w:cs="Arial"/>
          <w:b/>
        </w:rPr>
        <w:t>O</w:t>
      </w:r>
      <w:r w:rsidRPr="00DF3A54">
        <w:rPr>
          <w:rFonts w:ascii="Arial" w:hAnsi="Arial" w:cs="Arial"/>
          <w:b/>
        </w:rPr>
        <w:t>RMACION</w:t>
      </w:r>
    </w:p>
    <w:p w:rsidR="00AA48E5" w:rsidRPr="00DF3A54" w:rsidRDefault="00AA48E5" w:rsidP="00747188">
      <w:pPr>
        <w:jc w:val="both"/>
        <w:rPr>
          <w:rFonts w:ascii="Arial" w:hAnsi="Arial" w:cs="Arial"/>
        </w:rPr>
      </w:pPr>
    </w:p>
    <w:p w:rsidR="00F872D0" w:rsidRPr="00DF3A54" w:rsidRDefault="00F872D0" w:rsidP="00F872D0">
      <w:pPr>
        <w:jc w:val="both"/>
        <w:rPr>
          <w:rFonts w:ascii="Arial" w:hAnsi="Arial" w:cs="Arial"/>
        </w:rPr>
      </w:pPr>
      <w:r w:rsidRPr="00DF3A54">
        <w:rPr>
          <w:rFonts w:ascii="Arial" w:hAnsi="Arial" w:cs="Arial"/>
        </w:rPr>
        <w:t>La información para el presente informe se obtuvo por parte de los responsables del proceso, el líder de calidad y la disponible en la página web de la universidad.</w:t>
      </w:r>
    </w:p>
    <w:p w:rsidR="00AA48E5" w:rsidRDefault="00AA48E5" w:rsidP="00747188">
      <w:pPr>
        <w:jc w:val="both"/>
        <w:rPr>
          <w:rFonts w:ascii="Arial" w:hAnsi="Arial" w:cs="Arial"/>
        </w:rPr>
      </w:pPr>
    </w:p>
    <w:p w:rsidR="00BE5766" w:rsidRPr="00DC1CF8" w:rsidRDefault="00BE5766" w:rsidP="00747188">
      <w:pPr>
        <w:jc w:val="both"/>
        <w:rPr>
          <w:rFonts w:ascii="Arial" w:hAnsi="Arial" w:cs="Arial"/>
        </w:rPr>
      </w:pPr>
    </w:p>
    <w:p w:rsidR="00AA48E5" w:rsidRPr="00DC1CF8" w:rsidRDefault="00AA48E5" w:rsidP="00747188">
      <w:pPr>
        <w:ind w:left="360"/>
        <w:jc w:val="both"/>
        <w:rPr>
          <w:rFonts w:ascii="Arial" w:hAnsi="Arial" w:cs="Arial"/>
          <w:b/>
        </w:rPr>
      </w:pPr>
      <w:r w:rsidRPr="00DC1CF8">
        <w:rPr>
          <w:rFonts w:ascii="Arial" w:hAnsi="Arial" w:cs="Arial"/>
          <w:b/>
        </w:rPr>
        <w:t>4.  BASES LEGALES</w:t>
      </w:r>
    </w:p>
    <w:p w:rsidR="00B12413" w:rsidRDefault="00B12413" w:rsidP="00B12413">
      <w:pPr>
        <w:shd w:val="clear" w:color="auto" w:fill="FFFFFF"/>
        <w:jc w:val="both"/>
        <w:rPr>
          <w:rFonts w:ascii="Arial" w:hAnsi="Arial" w:cs="Arial"/>
        </w:rPr>
      </w:pPr>
    </w:p>
    <w:p w:rsidR="00681E8E" w:rsidRPr="00681E8E" w:rsidRDefault="00681E8E" w:rsidP="00681E8E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r w:rsidRPr="00681E8E">
        <w:rPr>
          <w:rFonts w:ascii="Arial" w:hAnsi="Arial" w:cs="Arial"/>
        </w:rPr>
        <w:t xml:space="preserve">Ley 30 de 1992 </w:t>
      </w:r>
    </w:p>
    <w:p w:rsidR="00681E8E" w:rsidRPr="00681E8E" w:rsidRDefault="00681E8E" w:rsidP="00681E8E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r w:rsidRPr="00681E8E">
        <w:rPr>
          <w:rFonts w:ascii="Arial" w:hAnsi="Arial" w:cs="Arial"/>
        </w:rPr>
        <w:t>Estatuto General</w:t>
      </w:r>
    </w:p>
    <w:p w:rsidR="00681E8E" w:rsidRPr="00681E8E" w:rsidRDefault="002D4FBC" w:rsidP="00681E8E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Estatuto E</w:t>
      </w:r>
      <w:r w:rsidR="00681E8E" w:rsidRPr="00681E8E">
        <w:rPr>
          <w:rFonts w:ascii="Arial" w:hAnsi="Arial" w:cs="Arial"/>
        </w:rPr>
        <w:t>studiantil</w:t>
      </w:r>
    </w:p>
    <w:p w:rsidR="00681E8E" w:rsidRPr="00681E8E" w:rsidRDefault="002D4FBC" w:rsidP="00681E8E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Estatuto D</w:t>
      </w:r>
      <w:r w:rsidR="00681E8E" w:rsidRPr="00681E8E">
        <w:rPr>
          <w:rFonts w:ascii="Arial" w:hAnsi="Arial" w:cs="Arial"/>
        </w:rPr>
        <w:t>ocente</w:t>
      </w:r>
    </w:p>
    <w:p w:rsidR="00681E8E" w:rsidRDefault="000C778D" w:rsidP="00681E8E">
      <w:pPr>
        <w:pStyle w:val="Prrafodelista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Acuerdo Superior 000013 del 8 de septiembre de 2010</w:t>
      </w:r>
    </w:p>
    <w:p w:rsidR="00920138" w:rsidRDefault="00920138" w:rsidP="00920138">
      <w:pPr>
        <w:shd w:val="clear" w:color="auto" w:fill="FFFFFF"/>
        <w:jc w:val="both"/>
        <w:rPr>
          <w:rFonts w:ascii="Arial" w:hAnsi="Arial" w:cs="Arial"/>
        </w:rPr>
      </w:pPr>
    </w:p>
    <w:p w:rsidR="00920138" w:rsidRDefault="00920138" w:rsidP="00920138">
      <w:pPr>
        <w:shd w:val="clear" w:color="auto" w:fill="FFFFFF"/>
        <w:jc w:val="both"/>
        <w:rPr>
          <w:rFonts w:ascii="Arial" w:hAnsi="Arial" w:cs="Arial"/>
        </w:rPr>
      </w:pPr>
    </w:p>
    <w:p w:rsidR="00920138" w:rsidRDefault="00920138" w:rsidP="00920138">
      <w:pPr>
        <w:shd w:val="clear" w:color="auto" w:fill="FFFFFF"/>
        <w:jc w:val="both"/>
        <w:rPr>
          <w:rFonts w:ascii="Arial" w:hAnsi="Arial" w:cs="Arial"/>
        </w:rPr>
      </w:pPr>
    </w:p>
    <w:p w:rsidR="00920138" w:rsidRDefault="00920138" w:rsidP="00920138">
      <w:pPr>
        <w:shd w:val="clear" w:color="auto" w:fill="FFFFFF"/>
        <w:jc w:val="both"/>
        <w:rPr>
          <w:rFonts w:ascii="Arial" w:hAnsi="Arial" w:cs="Arial"/>
        </w:rPr>
      </w:pPr>
    </w:p>
    <w:p w:rsidR="00BD221C" w:rsidRDefault="00BD221C" w:rsidP="00920138">
      <w:pPr>
        <w:shd w:val="clear" w:color="auto" w:fill="FFFFFF"/>
        <w:jc w:val="both"/>
        <w:rPr>
          <w:rFonts w:ascii="Arial" w:hAnsi="Arial" w:cs="Arial"/>
        </w:rPr>
      </w:pPr>
    </w:p>
    <w:p w:rsidR="00BE51D8" w:rsidRDefault="00BE51D8" w:rsidP="00920138">
      <w:pPr>
        <w:shd w:val="clear" w:color="auto" w:fill="FFFFFF"/>
        <w:jc w:val="both"/>
        <w:rPr>
          <w:rFonts w:ascii="Arial" w:hAnsi="Arial" w:cs="Arial"/>
        </w:rPr>
      </w:pPr>
    </w:p>
    <w:p w:rsidR="00BE51D8" w:rsidRDefault="00BE51D8" w:rsidP="00920138">
      <w:pPr>
        <w:shd w:val="clear" w:color="auto" w:fill="FFFFFF"/>
        <w:jc w:val="both"/>
        <w:rPr>
          <w:rFonts w:ascii="Arial" w:hAnsi="Arial" w:cs="Arial"/>
        </w:rPr>
      </w:pPr>
    </w:p>
    <w:p w:rsidR="00920138" w:rsidRDefault="00920138" w:rsidP="00920138">
      <w:pPr>
        <w:shd w:val="clear" w:color="auto" w:fill="FFFFFF"/>
        <w:jc w:val="both"/>
        <w:rPr>
          <w:rFonts w:ascii="Arial" w:hAnsi="Arial" w:cs="Arial"/>
        </w:rPr>
      </w:pPr>
    </w:p>
    <w:p w:rsidR="00920138" w:rsidRDefault="00920138" w:rsidP="00920138">
      <w:pPr>
        <w:shd w:val="clear" w:color="auto" w:fill="FFFFFF"/>
        <w:jc w:val="both"/>
        <w:rPr>
          <w:rFonts w:ascii="Arial" w:hAnsi="Arial" w:cs="Arial"/>
        </w:rPr>
      </w:pPr>
    </w:p>
    <w:p w:rsidR="00DC1CF8" w:rsidRDefault="00DC1CF8" w:rsidP="00920138">
      <w:pPr>
        <w:shd w:val="clear" w:color="auto" w:fill="FFFFFF"/>
        <w:jc w:val="both"/>
        <w:rPr>
          <w:rFonts w:ascii="Arial" w:hAnsi="Arial" w:cs="Arial"/>
        </w:rPr>
      </w:pPr>
    </w:p>
    <w:p w:rsidR="00DC1CF8" w:rsidRDefault="00DC1CF8" w:rsidP="00920138">
      <w:pPr>
        <w:shd w:val="clear" w:color="auto" w:fill="FFFFFF"/>
        <w:jc w:val="both"/>
        <w:rPr>
          <w:rFonts w:ascii="Arial" w:hAnsi="Arial" w:cs="Arial"/>
        </w:rPr>
      </w:pPr>
    </w:p>
    <w:p w:rsidR="00DC1CF8" w:rsidRDefault="00DC1CF8" w:rsidP="00920138">
      <w:pPr>
        <w:shd w:val="clear" w:color="auto" w:fill="FFFFFF"/>
        <w:jc w:val="both"/>
        <w:rPr>
          <w:rFonts w:ascii="Arial" w:hAnsi="Arial" w:cs="Arial"/>
        </w:rPr>
      </w:pPr>
    </w:p>
    <w:p w:rsidR="008E2850" w:rsidRDefault="008E2850" w:rsidP="00747188">
      <w:pPr>
        <w:jc w:val="both"/>
        <w:rPr>
          <w:rFonts w:ascii="Arial" w:hAnsi="Arial" w:cs="Arial"/>
        </w:rPr>
      </w:pPr>
    </w:p>
    <w:p w:rsidR="008E2850" w:rsidRPr="00DF3A54" w:rsidRDefault="008E2850" w:rsidP="00747188">
      <w:pPr>
        <w:jc w:val="both"/>
        <w:rPr>
          <w:rFonts w:ascii="Arial" w:hAnsi="Arial" w:cs="Arial"/>
        </w:rPr>
      </w:pPr>
    </w:p>
    <w:p w:rsidR="00BE51D8" w:rsidRDefault="00AA48E5" w:rsidP="00BE51D8">
      <w:pPr>
        <w:ind w:left="360"/>
        <w:jc w:val="both"/>
        <w:rPr>
          <w:rFonts w:ascii="Arial" w:hAnsi="Arial" w:cs="Arial"/>
          <w:b/>
        </w:rPr>
      </w:pPr>
      <w:r w:rsidRPr="00DF3A54">
        <w:rPr>
          <w:rFonts w:ascii="Arial" w:hAnsi="Arial" w:cs="Arial"/>
          <w:b/>
        </w:rPr>
        <w:lastRenderedPageBreak/>
        <w:t>5.  OBJETIVOS</w:t>
      </w:r>
    </w:p>
    <w:p w:rsidR="00D31000" w:rsidRPr="00DF3A54" w:rsidRDefault="00D31000" w:rsidP="00747188">
      <w:pPr>
        <w:ind w:left="360"/>
        <w:jc w:val="both"/>
        <w:rPr>
          <w:rFonts w:ascii="Arial" w:hAnsi="Arial" w:cs="Arial"/>
          <w:b/>
        </w:rPr>
      </w:pPr>
    </w:p>
    <w:p w:rsidR="00AA48E5" w:rsidRDefault="00AA48E5" w:rsidP="00747188">
      <w:pPr>
        <w:ind w:left="360" w:firstLine="348"/>
        <w:jc w:val="both"/>
        <w:rPr>
          <w:rFonts w:ascii="Arial" w:hAnsi="Arial" w:cs="Arial"/>
          <w:b/>
        </w:rPr>
      </w:pPr>
      <w:r w:rsidRPr="00DF3A54">
        <w:rPr>
          <w:rFonts w:ascii="Arial" w:hAnsi="Arial" w:cs="Arial"/>
          <w:b/>
        </w:rPr>
        <w:t xml:space="preserve">5.1.  </w:t>
      </w:r>
      <w:r w:rsidR="00422B96">
        <w:rPr>
          <w:rFonts w:ascii="Arial" w:hAnsi="Arial" w:cs="Arial"/>
          <w:b/>
        </w:rPr>
        <w:t>GENERAL</w:t>
      </w:r>
    </w:p>
    <w:p w:rsidR="00BE51D8" w:rsidRDefault="00BE51D8" w:rsidP="00747188">
      <w:pPr>
        <w:ind w:left="360" w:firstLine="348"/>
        <w:jc w:val="both"/>
        <w:rPr>
          <w:rFonts w:ascii="Arial" w:hAnsi="Arial" w:cs="Arial"/>
          <w:b/>
        </w:rPr>
      </w:pPr>
    </w:p>
    <w:p w:rsidR="00BE51D8" w:rsidRDefault="00BE51D8" w:rsidP="00BE51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auditoria de gestión al proceso Relaciones Interinstitucionales e Internacionales se realiza con el fin de verificar el cumplimiento de sus objetivos e indicadores y la efectividad de los controles de los riesgos del proceso.</w:t>
      </w:r>
    </w:p>
    <w:p w:rsidR="00D31000" w:rsidRDefault="00D31000" w:rsidP="004A4203">
      <w:pPr>
        <w:jc w:val="both"/>
        <w:rPr>
          <w:rFonts w:ascii="Arial" w:hAnsi="Arial" w:cs="Arial"/>
          <w:b/>
        </w:rPr>
      </w:pPr>
    </w:p>
    <w:p w:rsidR="00AA48E5" w:rsidRDefault="00AA48E5" w:rsidP="00747188">
      <w:pPr>
        <w:ind w:left="360" w:firstLine="348"/>
        <w:jc w:val="both"/>
        <w:rPr>
          <w:rFonts w:ascii="Arial" w:hAnsi="Arial" w:cs="Arial"/>
          <w:b/>
        </w:rPr>
      </w:pPr>
      <w:r w:rsidRPr="00DF3A54">
        <w:rPr>
          <w:rFonts w:ascii="Arial" w:hAnsi="Arial" w:cs="Arial"/>
          <w:b/>
        </w:rPr>
        <w:t>5.2.  ESPECIFICOS</w:t>
      </w:r>
    </w:p>
    <w:p w:rsidR="00104D7E" w:rsidRDefault="00104D7E" w:rsidP="00104D7E">
      <w:pPr>
        <w:jc w:val="both"/>
        <w:rPr>
          <w:rFonts w:ascii="Arial" w:hAnsi="Arial" w:cs="Arial"/>
        </w:rPr>
      </w:pPr>
    </w:p>
    <w:p w:rsidR="00AA48E5" w:rsidRDefault="00BE51D8" w:rsidP="00BE51D8">
      <w:pPr>
        <w:pStyle w:val="Prrafodelista"/>
        <w:numPr>
          <w:ilvl w:val="0"/>
          <w:numId w:val="36"/>
        </w:numPr>
        <w:jc w:val="both"/>
        <w:rPr>
          <w:rFonts w:ascii="Arial" w:hAnsi="Arial" w:cs="Arial"/>
        </w:rPr>
      </w:pPr>
      <w:r w:rsidRPr="00BE51D8">
        <w:rPr>
          <w:rFonts w:ascii="Arial" w:hAnsi="Arial" w:cs="Arial"/>
        </w:rPr>
        <w:t>Revisión del cumplimiento del plan de mejoramiento correspondiente a la auditoria del año 2015.</w:t>
      </w:r>
    </w:p>
    <w:p w:rsidR="00BE51D8" w:rsidRDefault="00BE51D8" w:rsidP="00BE51D8">
      <w:pPr>
        <w:pStyle w:val="Prrafodelista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Revisión de los indicadores del Plan de acción 2015 – 2017 y los indicadores de gestión.</w:t>
      </w:r>
    </w:p>
    <w:p w:rsidR="00BE51D8" w:rsidRPr="00BE51D8" w:rsidRDefault="00BE51D8" w:rsidP="00BE51D8">
      <w:pPr>
        <w:pStyle w:val="Prrafodelista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Revisión del Mapa de Riesgo</w:t>
      </w:r>
    </w:p>
    <w:p w:rsidR="00BE51D8" w:rsidRDefault="00BE51D8" w:rsidP="00747188">
      <w:pPr>
        <w:jc w:val="both"/>
        <w:rPr>
          <w:rFonts w:ascii="Arial" w:hAnsi="Arial" w:cs="Arial"/>
        </w:rPr>
      </w:pPr>
    </w:p>
    <w:p w:rsidR="00D31000" w:rsidRPr="00DF3A54" w:rsidRDefault="00D31000" w:rsidP="00747188">
      <w:pPr>
        <w:jc w:val="both"/>
        <w:rPr>
          <w:rFonts w:ascii="Arial" w:hAnsi="Arial" w:cs="Arial"/>
        </w:rPr>
      </w:pPr>
    </w:p>
    <w:p w:rsidR="00AA48E5" w:rsidRPr="00DF3A54" w:rsidRDefault="00AA48E5" w:rsidP="00747188">
      <w:pPr>
        <w:ind w:left="360"/>
        <w:jc w:val="both"/>
        <w:rPr>
          <w:rFonts w:ascii="Arial" w:hAnsi="Arial" w:cs="Arial"/>
          <w:b/>
        </w:rPr>
      </w:pPr>
      <w:r w:rsidRPr="00DF3A54">
        <w:rPr>
          <w:rFonts w:ascii="Arial" w:hAnsi="Arial" w:cs="Arial"/>
          <w:b/>
        </w:rPr>
        <w:t>6.  DIAGNOSTICO</w:t>
      </w:r>
    </w:p>
    <w:p w:rsidR="004138BB" w:rsidRDefault="004138BB" w:rsidP="00747188">
      <w:pPr>
        <w:jc w:val="both"/>
        <w:rPr>
          <w:rFonts w:ascii="Arial" w:hAnsi="Arial" w:cs="Arial"/>
        </w:rPr>
      </w:pPr>
    </w:p>
    <w:p w:rsidR="00D31000" w:rsidRPr="00F21651" w:rsidRDefault="0095558E" w:rsidP="002075C9">
      <w:pPr>
        <w:jc w:val="both"/>
        <w:rPr>
          <w:rFonts w:ascii="Arial" w:hAnsi="Arial" w:cs="Arial"/>
          <w:b/>
        </w:rPr>
      </w:pPr>
      <w:r w:rsidRPr="00F21651">
        <w:rPr>
          <w:rFonts w:ascii="Arial" w:hAnsi="Arial" w:cs="Arial"/>
          <w:b/>
        </w:rPr>
        <w:t>Pla</w:t>
      </w:r>
      <w:r w:rsidR="00052B60">
        <w:rPr>
          <w:rFonts w:ascii="Arial" w:hAnsi="Arial" w:cs="Arial"/>
          <w:b/>
        </w:rPr>
        <w:t>n de Mejoramiento auditoria 2015</w:t>
      </w:r>
    </w:p>
    <w:p w:rsidR="0095558E" w:rsidRDefault="0095558E" w:rsidP="002075C9">
      <w:pPr>
        <w:jc w:val="both"/>
        <w:rPr>
          <w:rFonts w:ascii="Arial" w:hAnsi="Arial" w:cs="Arial"/>
        </w:rPr>
      </w:pPr>
    </w:p>
    <w:p w:rsidR="008D6A89" w:rsidRDefault="00052B60" w:rsidP="00207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plan de acción resultado de la auditoria del año 2015, tiene un cumplimiento del 95% mostrando un alto compromiso por parte de los responsables del proceso en la consecución de las actividades </w:t>
      </w:r>
      <w:r w:rsidR="00A07CA5">
        <w:rPr>
          <w:rFonts w:ascii="Arial" w:hAnsi="Arial" w:cs="Arial"/>
        </w:rPr>
        <w:t>planeadas,</w:t>
      </w:r>
      <w:r>
        <w:rPr>
          <w:rFonts w:ascii="Arial" w:hAnsi="Arial" w:cs="Arial"/>
        </w:rPr>
        <w:t xml:space="preserve"> pero al mismo tiempo se encuentra que </w:t>
      </w:r>
      <w:r w:rsidR="00A601FB">
        <w:rPr>
          <w:rFonts w:ascii="Arial" w:hAnsi="Arial" w:cs="Arial"/>
        </w:rPr>
        <w:t>algunas de las</w:t>
      </w:r>
      <w:r>
        <w:rPr>
          <w:rFonts w:ascii="Arial" w:hAnsi="Arial" w:cs="Arial"/>
        </w:rPr>
        <w:t xml:space="preserve"> actividades realizadas no están siendo efectivas para resolver </w:t>
      </w:r>
      <w:r w:rsidR="00471D68">
        <w:rPr>
          <w:rFonts w:ascii="Arial" w:hAnsi="Arial" w:cs="Arial"/>
        </w:rPr>
        <w:t>las debilidades encontradas en el proceso, por ejemplo:</w:t>
      </w:r>
    </w:p>
    <w:p w:rsidR="00052B60" w:rsidRDefault="00052B60" w:rsidP="002075C9">
      <w:pPr>
        <w:jc w:val="both"/>
        <w:rPr>
          <w:rFonts w:ascii="Arial" w:hAnsi="Arial" w:cs="Arial"/>
        </w:rPr>
      </w:pPr>
    </w:p>
    <w:p w:rsidR="00052B60" w:rsidRDefault="00052B60" w:rsidP="00207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 auditoria se tomaron </w:t>
      </w:r>
      <w:r w:rsidR="00A601FB">
        <w:rPr>
          <w:rFonts w:ascii="Arial" w:hAnsi="Arial" w:cs="Arial"/>
        </w:rPr>
        <w:t xml:space="preserve">las siguientes </w:t>
      </w:r>
      <w:r>
        <w:rPr>
          <w:rFonts w:ascii="Arial" w:hAnsi="Arial" w:cs="Arial"/>
        </w:rPr>
        <w:t>observaciones para el plan de a</w:t>
      </w:r>
      <w:r w:rsidR="00471D68">
        <w:rPr>
          <w:rFonts w:ascii="Arial" w:hAnsi="Arial" w:cs="Arial"/>
        </w:rPr>
        <w:t>cción</w:t>
      </w:r>
      <w:r w:rsidR="00A601FB">
        <w:rPr>
          <w:rFonts w:ascii="Arial" w:hAnsi="Arial" w:cs="Arial"/>
        </w:rPr>
        <w:t>:</w:t>
      </w:r>
    </w:p>
    <w:p w:rsidR="00052B60" w:rsidRDefault="00052B60" w:rsidP="002075C9">
      <w:pPr>
        <w:jc w:val="both"/>
        <w:rPr>
          <w:rFonts w:ascii="Arial" w:hAnsi="Arial" w:cs="Arial"/>
        </w:rPr>
      </w:pPr>
    </w:p>
    <w:p w:rsidR="00052B60" w:rsidRDefault="00052B60" w:rsidP="00052B60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052B60">
        <w:rPr>
          <w:rFonts w:ascii="Arial" w:hAnsi="Arial" w:cs="Arial"/>
        </w:rPr>
        <w:t>No se ha avanzado en la actualización del estatuto de movilidad que reglamentará y fortalecerá el indicador de gestión.</w:t>
      </w:r>
    </w:p>
    <w:p w:rsidR="00052B60" w:rsidRDefault="00052B60" w:rsidP="00052B60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052B60">
        <w:rPr>
          <w:rFonts w:ascii="Arial" w:hAnsi="Arial" w:cs="Arial"/>
        </w:rPr>
        <w:t>Hace falta reforzar las políticas de internacionalización con las que se ampliará el número de oportunidades para la comunidad universitaria en otros países.</w:t>
      </w:r>
    </w:p>
    <w:p w:rsidR="00A041FE" w:rsidRDefault="00D5078D" w:rsidP="00D5078D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D5078D">
        <w:rPr>
          <w:rFonts w:ascii="Arial" w:hAnsi="Arial" w:cs="Arial"/>
        </w:rPr>
        <w:t>Se debe seguir trabajando en el multilingüismo para cumplir con lo planteado en el Plan Estratégico 2009-2019 y las recomendaciones del CNA de incrementar el nivel de inglés en la comunidad</w:t>
      </w:r>
      <w:r w:rsidR="00A041FE">
        <w:rPr>
          <w:rFonts w:ascii="Arial" w:hAnsi="Arial" w:cs="Arial"/>
        </w:rPr>
        <w:t xml:space="preserve"> universitaria.</w:t>
      </w:r>
    </w:p>
    <w:p w:rsidR="00052B60" w:rsidRDefault="00052B60" w:rsidP="00D5078D">
      <w:pPr>
        <w:pStyle w:val="Prrafodelista"/>
        <w:numPr>
          <w:ilvl w:val="0"/>
          <w:numId w:val="32"/>
        </w:numPr>
        <w:jc w:val="both"/>
        <w:rPr>
          <w:rFonts w:ascii="Arial" w:hAnsi="Arial" w:cs="Arial"/>
        </w:rPr>
      </w:pPr>
      <w:r w:rsidRPr="00052B60">
        <w:rPr>
          <w:rFonts w:ascii="Arial" w:hAnsi="Arial" w:cs="Arial"/>
        </w:rPr>
        <w:t>No se ha realizado un análisis de la situación de los becarios que ya terminaron sus estudios y no han podido cumplir sus compromisos porque no han sido contratados por la Universidad, es necesario buscar alternativas de solución antes que el número de beneficiarios aumente.</w:t>
      </w:r>
    </w:p>
    <w:p w:rsidR="00471D68" w:rsidRDefault="00471D68" w:rsidP="00471D68">
      <w:pPr>
        <w:jc w:val="both"/>
        <w:rPr>
          <w:rFonts w:ascii="Arial" w:hAnsi="Arial" w:cs="Arial"/>
        </w:rPr>
      </w:pPr>
    </w:p>
    <w:p w:rsidR="00471D68" w:rsidRDefault="00A601FB" w:rsidP="00471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Observación 1: </w:t>
      </w:r>
      <w:r w:rsidR="00471D68">
        <w:rPr>
          <w:rFonts w:ascii="Arial" w:hAnsi="Arial" w:cs="Arial"/>
        </w:rPr>
        <w:t xml:space="preserve">A pesar de haber realizado todas las actividades programadas para la elaboración del documento “Estatuto de Movilidad” y de realizar la </w:t>
      </w:r>
      <w:r w:rsidR="00471D68">
        <w:rPr>
          <w:rFonts w:ascii="Arial" w:hAnsi="Arial" w:cs="Arial"/>
        </w:rPr>
        <w:lastRenderedPageBreak/>
        <w:t>gestión necesaria para su aprobación, este aún no ha sido aprobado por parte del Consejo Superior.</w:t>
      </w:r>
      <w:r w:rsidR="00A041FE">
        <w:rPr>
          <w:rFonts w:ascii="Arial" w:hAnsi="Arial" w:cs="Arial"/>
        </w:rPr>
        <w:t xml:space="preserve"> </w:t>
      </w:r>
    </w:p>
    <w:p w:rsidR="00A601FB" w:rsidRDefault="00A601FB" w:rsidP="00471D68">
      <w:pPr>
        <w:jc w:val="both"/>
        <w:rPr>
          <w:rFonts w:ascii="Arial" w:hAnsi="Arial" w:cs="Arial"/>
        </w:rPr>
      </w:pPr>
    </w:p>
    <w:p w:rsidR="00193D09" w:rsidRDefault="00A601FB" w:rsidP="00A60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Observación </w:t>
      </w:r>
      <w:r w:rsidR="006C48CB">
        <w:rPr>
          <w:rFonts w:ascii="Arial" w:hAnsi="Arial" w:cs="Arial"/>
        </w:rPr>
        <w:t xml:space="preserve">4: </w:t>
      </w:r>
      <w:r>
        <w:rPr>
          <w:rFonts w:ascii="Arial" w:hAnsi="Arial" w:cs="Arial"/>
        </w:rPr>
        <w:t xml:space="preserve">Del informe suministrado por el proceso </w:t>
      </w:r>
      <w:r w:rsidR="00A8782C">
        <w:rPr>
          <w:rFonts w:ascii="Arial" w:hAnsi="Arial" w:cs="Arial"/>
        </w:rPr>
        <w:t xml:space="preserve">(Matriz Relación Becarios Completa) </w:t>
      </w:r>
      <w:r>
        <w:rPr>
          <w:rFonts w:ascii="Arial" w:hAnsi="Arial" w:cs="Arial"/>
        </w:rPr>
        <w:t>se observa que el</w:t>
      </w:r>
      <w:r w:rsidR="006C48CB">
        <w:rPr>
          <w:rFonts w:ascii="Arial" w:hAnsi="Arial" w:cs="Arial"/>
        </w:rPr>
        <w:t xml:space="preserve"> 66</w:t>
      </w:r>
      <w:r>
        <w:rPr>
          <w:rFonts w:ascii="Arial" w:hAnsi="Arial" w:cs="Arial"/>
        </w:rPr>
        <w:t>% de los estudiantes</w:t>
      </w:r>
      <w:r w:rsidR="00D252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a la fecha se han beneficiado con el programa, no han cumplido con la parte de contraprestación</w:t>
      </w:r>
      <w:r w:rsidR="00A8782C">
        <w:rPr>
          <w:rFonts w:ascii="Arial" w:hAnsi="Arial" w:cs="Arial"/>
        </w:rPr>
        <w:t>. Esto se presenta</w:t>
      </w:r>
      <w:r>
        <w:rPr>
          <w:rFonts w:ascii="Arial" w:hAnsi="Arial" w:cs="Arial"/>
        </w:rPr>
        <w:t xml:space="preserve"> por diferentes razones</w:t>
      </w:r>
      <w:r w:rsidR="00193D0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entre las cuales se encuentra</w:t>
      </w:r>
      <w:r w:rsidR="00A8782C">
        <w:rPr>
          <w:rFonts w:ascii="Arial" w:hAnsi="Arial" w:cs="Arial"/>
        </w:rPr>
        <w:t xml:space="preserve"> las siguientes</w:t>
      </w:r>
      <w:r>
        <w:rPr>
          <w:rFonts w:ascii="Arial" w:hAnsi="Arial" w:cs="Arial"/>
        </w:rPr>
        <w:t xml:space="preserve">: </w:t>
      </w:r>
      <w:r w:rsidR="00A8782C">
        <w:rPr>
          <w:rFonts w:ascii="Arial" w:hAnsi="Arial" w:cs="Arial"/>
        </w:rPr>
        <w:t>L</w:t>
      </w:r>
      <w:r w:rsidR="00957A8F">
        <w:rPr>
          <w:rFonts w:ascii="Arial" w:hAnsi="Arial" w:cs="Arial"/>
        </w:rPr>
        <w:t xml:space="preserve">os beneficiados </w:t>
      </w:r>
      <w:r>
        <w:rPr>
          <w:rFonts w:ascii="Arial" w:hAnsi="Arial" w:cs="Arial"/>
        </w:rPr>
        <w:t>n</w:t>
      </w:r>
      <w:r w:rsidRPr="00A601FB">
        <w:rPr>
          <w:rFonts w:ascii="Arial" w:hAnsi="Arial" w:cs="Arial"/>
        </w:rPr>
        <w:t>o pueden ser contratados por la universidad porque no cumplen con los requisitos exigidos</w:t>
      </w:r>
      <w:r>
        <w:rPr>
          <w:rFonts w:ascii="Arial" w:hAnsi="Arial" w:cs="Arial"/>
        </w:rPr>
        <w:t>, l</w:t>
      </w:r>
      <w:r w:rsidRPr="00A601FB">
        <w:rPr>
          <w:rFonts w:ascii="Arial" w:hAnsi="Arial" w:cs="Arial"/>
        </w:rPr>
        <w:t xml:space="preserve">a universidad no tiene la necesidad de realizar contrataciones con </w:t>
      </w:r>
      <w:r w:rsidR="00957A8F">
        <w:rPr>
          <w:rFonts w:ascii="Arial" w:hAnsi="Arial" w:cs="Arial"/>
        </w:rPr>
        <w:t>sus perfiles</w:t>
      </w:r>
      <w:r>
        <w:rPr>
          <w:rFonts w:ascii="Arial" w:hAnsi="Arial" w:cs="Arial"/>
        </w:rPr>
        <w:t>, o</w:t>
      </w:r>
      <w:r w:rsidRPr="00A601FB">
        <w:rPr>
          <w:rFonts w:ascii="Arial" w:hAnsi="Arial" w:cs="Arial"/>
        </w:rPr>
        <w:t xml:space="preserve"> porque los </w:t>
      </w:r>
      <w:r w:rsidR="00957A8F">
        <w:rPr>
          <w:rFonts w:ascii="Arial" w:hAnsi="Arial" w:cs="Arial"/>
        </w:rPr>
        <w:t>beneficiados</w:t>
      </w:r>
      <w:r w:rsidRPr="00A601FB">
        <w:rPr>
          <w:rFonts w:ascii="Arial" w:hAnsi="Arial" w:cs="Arial"/>
        </w:rPr>
        <w:t xml:space="preserve"> permanecen fuera del país más del tiempo estipulado</w:t>
      </w:r>
      <w:r w:rsidR="00D252F1">
        <w:rPr>
          <w:rFonts w:ascii="Arial" w:hAnsi="Arial" w:cs="Arial"/>
        </w:rPr>
        <w:t>. De esta forma se da incumplimiento al literal C del ARTÍCULO 10</w:t>
      </w:r>
      <w:r w:rsidR="00B309BC">
        <w:rPr>
          <w:rFonts w:ascii="Arial" w:hAnsi="Arial" w:cs="Arial"/>
        </w:rPr>
        <w:t>°</w:t>
      </w:r>
      <w:r w:rsidR="00D252F1">
        <w:rPr>
          <w:rFonts w:ascii="Arial" w:hAnsi="Arial" w:cs="Arial"/>
        </w:rPr>
        <w:t xml:space="preserve"> del acuerdo superior 000013 del 8 de septiembre de 2010, el cual dice: “Firmar un acuerdo entre la Universidad y el beneficiario en donde se establezca la contraprestación debida una vez finalizado el estudio de la maestría o doctorado”. Y al literal D del ARTÍCULO 6° el cual dice </w:t>
      </w:r>
      <w:r w:rsidR="00193D09">
        <w:rPr>
          <w:rFonts w:ascii="Arial" w:hAnsi="Arial" w:cs="Arial"/>
        </w:rPr>
        <w:t xml:space="preserve">“optar por un programa de maestría o doctorado que corresponda a necesidades del Plan de Acción de las facultades” </w:t>
      </w:r>
    </w:p>
    <w:p w:rsidR="00A8782C" w:rsidRDefault="00A8782C" w:rsidP="00A601FB">
      <w:pPr>
        <w:jc w:val="both"/>
        <w:rPr>
          <w:rFonts w:ascii="Arial" w:hAnsi="Arial" w:cs="Arial"/>
        </w:rPr>
      </w:pPr>
    </w:p>
    <w:p w:rsidR="00A8782C" w:rsidRDefault="00A8782C" w:rsidP="00A60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se evidencian acciones efectivas por parte del proceso que logren mitigar </w:t>
      </w:r>
      <w:r w:rsidR="007D0318">
        <w:rPr>
          <w:rFonts w:ascii="Arial" w:hAnsi="Arial" w:cs="Arial"/>
        </w:rPr>
        <w:t>el riesgo del</w:t>
      </w:r>
      <w:r>
        <w:rPr>
          <w:rFonts w:ascii="Arial" w:hAnsi="Arial" w:cs="Arial"/>
        </w:rPr>
        <w:t xml:space="preserve"> incremento del número de beneficiados del programa de apoyo institucional para l</w:t>
      </w:r>
      <w:r w:rsidR="0023612F">
        <w:rPr>
          <w:rFonts w:ascii="Arial" w:hAnsi="Arial" w:cs="Arial"/>
        </w:rPr>
        <w:t xml:space="preserve">a formación en estudios de </w:t>
      </w:r>
      <w:proofErr w:type="spellStart"/>
      <w:r w:rsidR="0023612F">
        <w:rPr>
          <w:rFonts w:ascii="Arial" w:hAnsi="Arial" w:cs="Arial"/>
        </w:rPr>
        <w:t>prost</w:t>
      </w:r>
      <w:r>
        <w:rPr>
          <w:rFonts w:ascii="Arial" w:hAnsi="Arial" w:cs="Arial"/>
        </w:rPr>
        <w:t>grados</w:t>
      </w:r>
      <w:proofErr w:type="spellEnd"/>
      <w:r>
        <w:rPr>
          <w:rFonts w:ascii="Arial" w:hAnsi="Arial" w:cs="Arial"/>
        </w:rPr>
        <w:t xml:space="preserve"> en maestrías y doctorados que no cumplen con la contraprestación esti</w:t>
      </w:r>
      <w:r w:rsidR="0023612F">
        <w:rPr>
          <w:rFonts w:ascii="Arial" w:hAnsi="Arial" w:cs="Arial"/>
        </w:rPr>
        <w:t>pulada en el acuerdo Superior N°</w:t>
      </w:r>
      <w:r>
        <w:rPr>
          <w:rFonts w:ascii="Arial" w:hAnsi="Arial" w:cs="Arial"/>
        </w:rPr>
        <w:t xml:space="preserve"> 000</w:t>
      </w:r>
      <w:r w:rsidR="007D0318">
        <w:rPr>
          <w:rFonts w:ascii="Arial" w:hAnsi="Arial" w:cs="Arial"/>
        </w:rPr>
        <w:t>013 del 8 de septiembre de 2010</w:t>
      </w:r>
    </w:p>
    <w:p w:rsidR="00193D09" w:rsidRDefault="00193D09" w:rsidP="00A601FB">
      <w:pPr>
        <w:jc w:val="both"/>
        <w:rPr>
          <w:rFonts w:ascii="Arial" w:hAnsi="Arial" w:cs="Arial"/>
        </w:rPr>
      </w:pPr>
    </w:p>
    <w:p w:rsidR="00B35271" w:rsidRDefault="00B35271" w:rsidP="002075C9">
      <w:pPr>
        <w:jc w:val="both"/>
        <w:rPr>
          <w:rFonts w:ascii="Arial" w:hAnsi="Arial" w:cs="Arial"/>
        </w:rPr>
      </w:pPr>
    </w:p>
    <w:p w:rsidR="00FA6906" w:rsidRPr="00EA11A3" w:rsidRDefault="0051583F" w:rsidP="002075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Indicadores </w:t>
      </w:r>
      <w:bookmarkStart w:id="0" w:name="_GoBack"/>
      <w:bookmarkEnd w:id="0"/>
      <w:r w:rsidR="009A3797">
        <w:rPr>
          <w:rFonts w:ascii="Arial" w:hAnsi="Arial" w:cs="Arial"/>
          <w:b/>
        </w:rPr>
        <w:t>Plan d</w:t>
      </w:r>
      <w:r w:rsidR="00694DC4">
        <w:rPr>
          <w:rFonts w:ascii="Arial" w:hAnsi="Arial" w:cs="Arial"/>
          <w:b/>
        </w:rPr>
        <w:t>e Acción</w:t>
      </w:r>
    </w:p>
    <w:p w:rsidR="00FA6906" w:rsidRDefault="00FA6906" w:rsidP="00FA6906">
      <w:pPr>
        <w:ind w:hanging="1276"/>
        <w:jc w:val="both"/>
        <w:rPr>
          <w:noProof/>
          <w:lang w:val="es-CO" w:eastAsia="es-CO"/>
        </w:rPr>
      </w:pPr>
    </w:p>
    <w:p w:rsidR="002C0B84" w:rsidRDefault="002C0B84" w:rsidP="00C11E2C">
      <w:pPr>
        <w:ind w:hanging="1418"/>
        <w:jc w:val="center"/>
        <w:rPr>
          <w:rFonts w:ascii="Arial" w:hAnsi="Arial" w:cs="Arial"/>
          <w:b/>
        </w:rPr>
      </w:pPr>
      <w:r>
        <w:rPr>
          <w:noProof/>
          <w:lang w:val="es-CO" w:eastAsia="es-CO"/>
        </w:rPr>
        <w:drawing>
          <wp:inline distT="0" distB="0" distL="0" distR="0" wp14:anchorId="2B49DE43" wp14:editId="22A58CCA">
            <wp:extent cx="7181719" cy="2590800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3" t="58691" r="12404" b="4628"/>
                    <a:stretch/>
                  </pic:blipFill>
                  <pic:spPr bwMode="auto">
                    <a:xfrm>
                      <a:off x="0" y="0"/>
                      <a:ext cx="7279428" cy="2626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B84" w:rsidRDefault="002C0B84" w:rsidP="002075C9">
      <w:pPr>
        <w:jc w:val="both"/>
        <w:rPr>
          <w:rFonts w:ascii="Arial" w:hAnsi="Arial" w:cs="Arial"/>
          <w:b/>
        </w:rPr>
      </w:pPr>
    </w:p>
    <w:p w:rsidR="00EA11A3" w:rsidRDefault="00EA11A3" w:rsidP="00C11E2C">
      <w:pPr>
        <w:jc w:val="both"/>
        <w:rPr>
          <w:rFonts w:ascii="Arial" w:hAnsi="Arial" w:cs="Arial"/>
        </w:rPr>
      </w:pPr>
      <w:r w:rsidRPr="000C50C8">
        <w:rPr>
          <w:rFonts w:ascii="Arial" w:hAnsi="Arial" w:cs="Arial"/>
        </w:rPr>
        <w:t>De la información anteriormente presentada</w:t>
      </w:r>
      <w:r w:rsidR="000C50C8">
        <w:rPr>
          <w:rFonts w:ascii="Arial" w:hAnsi="Arial" w:cs="Arial"/>
        </w:rPr>
        <w:t>, s</w:t>
      </w:r>
      <w:r w:rsidRPr="000C50C8">
        <w:rPr>
          <w:rFonts w:ascii="Arial" w:hAnsi="Arial" w:cs="Arial"/>
        </w:rPr>
        <w:t xml:space="preserve">e </w:t>
      </w:r>
      <w:r w:rsidR="008A59E0">
        <w:rPr>
          <w:rFonts w:ascii="Arial" w:hAnsi="Arial" w:cs="Arial"/>
        </w:rPr>
        <w:t>observa</w:t>
      </w:r>
      <w:r w:rsidRPr="000C50C8">
        <w:rPr>
          <w:rFonts w:ascii="Arial" w:hAnsi="Arial" w:cs="Arial"/>
        </w:rPr>
        <w:t xml:space="preserve"> que indicadores como: </w:t>
      </w:r>
      <w:r w:rsidR="000C50C8" w:rsidRPr="000C50C8">
        <w:rPr>
          <w:rFonts w:ascii="Arial" w:hAnsi="Arial" w:cs="Arial"/>
        </w:rPr>
        <w:t>"p</w:t>
      </w:r>
      <w:r w:rsidR="000C50C8">
        <w:rPr>
          <w:rFonts w:ascii="Arial" w:hAnsi="Arial" w:cs="Arial"/>
        </w:rPr>
        <w:t>o</w:t>
      </w:r>
      <w:r w:rsidR="000C50C8" w:rsidRPr="000C50C8">
        <w:rPr>
          <w:rFonts w:ascii="Arial" w:hAnsi="Arial" w:cs="Arial"/>
        </w:rPr>
        <w:t>rcentaje de programas con convenio de doble titulación de pregrado profesional vigente</w:t>
      </w:r>
      <w:r w:rsidR="00657A45">
        <w:rPr>
          <w:rFonts w:ascii="Arial" w:hAnsi="Arial" w:cs="Arial"/>
        </w:rPr>
        <w:t>”</w:t>
      </w:r>
      <w:r w:rsidR="007D0318">
        <w:rPr>
          <w:rFonts w:ascii="Arial" w:hAnsi="Arial" w:cs="Arial"/>
        </w:rPr>
        <w:t>,</w:t>
      </w:r>
      <w:r w:rsidR="00657A45">
        <w:rPr>
          <w:rFonts w:ascii="Arial" w:hAnsi="Arial" w:cs="Arial"/>
        </w:rPr>
        <w:t xml:space="preserve"> </w:t>
      </w:r>
      <w:r w:rsidR="000C50C8">
        <w:rPr>
          <w:rFonts w:ascii="Arial" w:hAnsi="Arial" w:cs="Arial"/>
        </w:rPr>
        <w:t xml:space="preserve">“porcentaje de programas con convenio de doble titulación </w:t>
      </w:r>
      <w:r w:rsidR="000C50C8">
        <w:rPr>
          <w:rFonts w:ascii="Arial" w:hAnsi="Arial" w:cs="Arial"/>
        </w:rPr>
        <w:lastRenderedPageBreak/>
        <w:t>de maestrías y doctorados</w:t>
      </w:r>
      <w:r w:rsidR="00904322">
        <w:rPr>
          <w:rFonts w:ascii="Arial" w:hAnsi="Arial" w:cs="Arial"/>
        </w:rPr>
        <w:t xml:space="preserve"> vigentes</w:t>
      </w:r>
      <w:r w:rsidR="000C50C8">
        <w:rPr>
          <w:rFonts w:ascii="Arial" w:hAnsi="Arial" w:cs="Arial"/>
        </w:rPr>
        <w:t>”</w:t>
      </w:r>
      <w:r w:rsidR="007D0318">
        <w:rPr>
          <w:rFonts w:ascii="Arial" w:hAnsi="Arial" w:cs="Arial"/>
        </w:rPr>
        <w:t xml:space="preserve">, “número de becarios beneficiarios vinculados a la UA de contraprestación por año” y “número de aplicaciones exitosas a convocatorias nacionales e internacionales de cooperación realizadas” </w:t>
      </w:r>
      <w:r w:rsidR="00904322">
        <w:rPr>
          <w:rFonts w:ascii="Arial" w:hAnsi="Arial" w:cs="Arial"/>
        </w:rPr>
        <w:t xml:space="preserve"> presentan un </w:t>
      </w:r>
      <w:r w:rsidR="005541A9">
        <w:rPr>
          <w:rFonts w:ascii="Arial" w:hAnsi="Arial" w:cs="Arial"/>
        </w:rPr>
        <w:t>porcentaje</w:t>
      </w:r>
      <w:r w:rsidR="007D0318">
        <w:rPr>
          <w:rFonts w:ascii="Arial" w:hAnsi="Arial" w:cs="Arial"/>
        </w:rPr>
        <w:t xml:space="preserve"> muy bajo de cumplimiento (0%, 6.</w:t>
      </w:r>
      <w:r w:rsidR="00904322">
        <w:rPr>
          <w:rFonts w:ascii="Arial" w:hAnsi="Arial" w:cs="Arial"/>
        </w:rPr>
        <w:t xml:space="preserve">667% </w:t>
      </w:r>
      <w:r w:rsidR="007D0318">
        <w:rPr>
          <w:rFonts w:ascii="Arial" w:hAnsi="Arial" w:cs="Arial"/>
        </w:rPr>
        <w:t xml:space="preserve">36.25% y 37.5% </w:t>
      </w:r>
      <w:r w:rsidR="00904322">
        <w:rPr>
          <w:rFonts w:ascii="Arial" w:hAnsi="Arial" w:cs="Arial"/>
        </w:rPr>
        <w:t>respectivamente).</w:t>
      </w:r>
    </w:p>
    <w:p w:rsidR="00657A45" w:rsidRDefault="00657A45" w:rsidP="00C11E2C">
      <w:pPr>
        <w:jc w:val="both"/>
        <w:rPr>
          <w:rFonts w:ascii="Arial" w:hAnsi="Arial" w:cs="Arial"/>
        </w:rPr>
      </w:pPr>
    </w:p>
    <w:p w:rsidR="001C1881" w:rsidRDefault="001C1881" w:rsidP="00C11E2C">
      <w:pPr>
        <w:jc w:val="both"/>
        <w:rPr>
          <w:rFonts w:ascii="Arial" w:hAnsi="Arial" w:cs="Arial"/>
          <w:b/>
        </w:rPr>
      </w:pPr>
    </w:p>
    <w:p w:rsidR="00C11E2C" w:rsidRDefault="00694DC4" w:rsidP="00C11E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Indicadores de Gestión</w:t>
      </w:r>
    </w:p>
    <w:p w:rsidR="00327A12" w:rsidRDefault="00327A12" w:rsidP="00C11E2C">
      <w:pPr>
        <w:jc w:val="both"/>
        <w:rPr>
          <w:rFonts w:ascii="Arial" w:hAnsi="Arial" w:cs="Arial"/>
          <w:b/>
        </w:rPr>
      </w:pPr>
    </w:p>
    <w:p w:rsidR="00327A12" w:rsidRDefault="00327A12" w:rsidP="00C11E2C">
      <w:pPr>
        <w:jc w:val="both"/>
        <w:rPr>
          <w:rFonts w:ascii="Arial" w:hAnsi="Arial" w:cs="Arial"/>
        </w:rPr>
      </w:pPr>
      <w:r w:rsidRPr="00327A12">
        <w:rPr>
          <w:rFonts w:ascii="Arial" w:hAnsi="Arial" w:cs="Arial"/>
        </w:rPr>
        <w:t xml:space="preserve">De la información tomada del </w:t>
      </w:r>
      <w:proofErr w:type="spellStart"/>
      <w:r w:rsidRPr="00327A12">
        <w:rPr>
          <w:rFonts w:ascii="Arial" w:hAnsi="Arial" w:cs="Arial"/>
        </w:rPr>
        <w:t>Isolución</w:t>
      </w:r>
      <w:proofErr w:type="spellEnd"/>
      <w:r w:rsidRPr="00327A12">
        <w:rPr>
          <w:rFonts w:ascii="Arial" w:hAnsi="Arial" w:cs="Arial"/>
        </w:rPr>
        <w:t xml:space="preserve"> se </w:t>
      </w:r>
      <w:r w:rsidR="005541A9">
        <w:rPr>
          <w:rFonts w:ascii="Arial" w:hAnsi="Arial" w:cs="Arial"/>
        </w:rPr>
        <w:t>encuentra</w:t>
      </w:r>
      <w:r w:rsidRPr="00327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los indicadores de gestión del proceso presentaron en el añ</w:t>
      </w:r>
      <w:r w:rsidR="00875C2A">
        <w:rPr>
          <w:rFonts w:ascii="Arial" w:hAnsi="Arial" w:cs="Arial"/>
        </w:rPr>
        <w:t xml:space="preserve">o 2016 un cumplimiento del 100%. A </w:t>
      </w:r>
      <w:r w:rsidR="00EA11A3">
        <w:rPr>
          <w:rFonts w:ascii="Arial" w:hAnsi="Arial" w:cs="Arial"/>
        </w:rPr>
        <w:t>continuación,</w:t>
      </w:r>
      <w:r w:rsidR="00875C2A">
        <w:rPr>
          <w:rFonts w:ascii="Arial" w:hAnsi="Arial" w:cs="Arial"/>
        </w:rPr>
        <w:t xml:space="preserve"> se presentan los indicadores con la meta del año 2016, el valor real y el % de cumplimiento.</w:t>
      </w:r>
    </w:p>
    <w:p w:rsidR="00E10C19" w:rsidRDefault="00E10C19" w:rsidP="00C11E2C">
      <w:pPr>
        <w:jc w:val="both"/>
        <w:rPr>
          <w:rFonts w:ascii="Arial" w:hAnsi="Arial" w:cs="Arial"/>
        </w:rPr>
      </w:pPr>
    </w:p>
    <w:p w:rsidR="00E10C19" w:rsidRPr="00327A12" w:rsidRDefault="00E10C19" w:rsidP="00E10C19">
      <w:pPr>
        <w:ind w:hanging="1276"/>
        <w:jc w:val="both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 wp14:anchorId="64A450D8" wp14:editId="0EBE4BAF">
            <wp:extent cx="7096125" cy="1085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88" t="48721" r="12522" b="34397"/>
                    <a:stretch/>
                  </pic:blipFill>
                  <pic:spPr bwMode="auto">
                    <a:xfrm>
                      <a:off x="0" y="0"/>
                      <a:ext cx="7100570" cy="108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E2C" w:rsidRDefault="00C11E2C" w:rsidP="00875C2A">
      <w:pPr>
        <w:jc w:val="both"/>
        <w:rPr>
          <w:noProof/>
          <w:lang w:val="es-CO" w:eastAsia="es-CO"/>
        </w:rPr>
      </w:pPr>
    </w:p>
    <w:p w:rsidR="00E10C19" w:rsidRPr="00EA11A3" w:rsidRDefault="00E10C19" w:rsidP="00E10C19">
      <w:pPr>
        <w:jc w:val="both"/>
        <w:rPr>
          <w:rFonts w:ascii="Arial" w:hAnsi="Arial" w:cs="Arial"/>
        </w:rPr>
      </w:pPr>
      <w:r w:rsidRPr="00EA11A3">
        <w:rPr>
          <w:rFonts w:ascii="Arial" w:hAnsi="Arial" w:cs="Arial"/>
        </w:rPr>
        <w:t>En los dos primeros indicadores se observa que el valor real es mucho mayor que la meta propuesta (más del 300%)</w:t>
      </w:r>
      <w:r>
        <w:rPr>
          <w:rFonts w:ascii="Arial" w:hAnsi="Arial" w:cs="Arial"/>
        </w:rPr>
        <w:t xml:space="preserve"> lo cual puede ser resultado de la exclusión de algunos factores al momento de establecer las metas.</w:t>
      </w:r>
    </w:p>
    <w:p w:rsidR="00E10C19" w:rsidRDefault="00E10C19" w:rsidP="00875C2A">
      <w:pPr>
        <w:jc w:val="both"/>
        <w:rPr>
          <w:noProof/>
          <w:lang w:val="es-CO" w:eastAsia="es-CO"/>
        </w:rPr>
      </w:pPr>
    </w:p>
    <w:p w:rsidR="00374A88" w:rsidRDefault="00374A88" w:rsidP="00BA7824">
      <w:pPr>
        <w:jc w:val="center"/>
        <w:rPr>
          <w:rFonts w:ascii="Arial" w:hAnsi="Arial" w:cs="Arial"/>
          <w:b/>
        </w:rPr>
      </w:pPr>
    </w:p>
    <w:p w:rsidR="002C0B84" w:rsidRDefault="00EA11A3" w:rsidP="002C0B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Mapa de Riesgos</w:t>
      </w:r>
    </w:p>
    <w:p w:rsidR="00F33523" w:rsidRDefault="00F33523" w:rsidP="002C0B84">
      <w:pPr>
        <w:jc w:val="both"/>
        <w:rPr>
          <w:rFonts w:ascii="Arial" w:hAnsi="Arial" w:cs="Arial"/>
          <w:b/>
        </w:rPr>
      </w:pPr>
    </w:p>
    <w:tbl>
      <w:tblPr>
        <w:tblW w:w="86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377"/>
        <w:gridCol w:w="1842"/>
        <w:gridCol w:w="2225"/>
        <w:gridCol w:w="1349"/>
      </w:tblGrid>
      <w:tr w:rsidR="00BA7824" w:rsidTr="00BA7824">
        <w:trPr>
          <w:trHeight w:val="315"/>
          <w:jc w:val="center"/>
        </w:trPr>
        <w:tc>
          <w:tcPr>
            <w:tcW w:w="86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BA7824" w:rsidRDefault="00BA7824">
            <w:pPr>
              <w:jc w:val="center"/>
              <w:rPr>
                <w:rFonts w:ascii="Arial" w:hAnsi="Arial" w:cs="Arial"/>
                <w:b/>
                <w:bCs/>
                <w:color w:val="1F4E78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1F4E78"/>
                <w:sz w:val="20"/>
                <w:szCs w:val="20"/>
              </w:rPr>
              <w:t xml:space="preserve">RIESGOS </w:t>
            </w:r>
          </w:p>
        </w:tc>
      </w:tr>
      <w:tr w:rsidR="00BA7824" w:rsidTr="00BA7824">
        <w:trPr>
          <w:trHeight w:val="450"/>
          <w:jc w:val="center"/>
        </w:trPr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A7824" w:rsidRDefault="00BA7824">
            <w:pPr>
              <w:jc w:val="center"/>
              <w:rPr>
                <w:rFonts w:ascii="Arial" w:hAnsi="Arial" w:cs="Arial"/>
                <w:b/>
                <w:bCs/>
                <w:color w:val="1F4E7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E78"/>
                <w:sz w:val="22"/>
                <w:szCs w:val="22"/>
              </w:rPr>
              <w:t>N° de Riesgo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A7824" w:rsidRDefault="00BA7824">
            <w:pPr>
              <w:jc w:val="center"/>
              <w:rPr>
                <w:rFonts w:ascii="Arial" w:hAnsi="Arial" w:cs="Arial"/>
                <w:b/>
                <w:bCs/>
                <w:color w:val="1F4E7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E78"/>
                <w:sz w:val="22"/>
                <w:szCs w:val="22"/>
              </w:rPr>
              <w:t>Causa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A7824" w:rsidRDefault="00BA7824">
            <w:pPr>
              <w:jc w:val="center"/>
              <w:rPr>
                <w:rFonts w:ascii="Arial" w:hAnsi="Arial" w:cs="Arial"/>
                <w:b/>
                <w:bCs/>
                <w:color w:val="1F4E7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E78"/>
                <w:sz w:val="20"/>
                <w:szCs w:val="20"/>
              </w:rPr>
              <w:t>Nombre Riesgo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A7824" w:rsidRDefault="00BA7824">
            <w:pPr>
              <w:jc w:val="center"/>
              <w:rPr>
                <w:rFonts w:ascii="Arial" w:hAnsi="Arial" w:cs="Arial"/>
                <w:b/>
                <w:bCs/>
                <w:color w:val="1F4E7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E78"/>
                <w:sz w:val="20"/>
                <w:szCs w:val="20"/>
              </w:rPr>
              <w:t>Consecuencias Potenciales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BA7824" w:rsidRDefault="00BA7824">
            <w:pPr>
              <w:jc w:val="center"/>
              <w:rPr>
                <w:rFonts w:ascii="Arial" w:hAnsi="Arial" w:cs="Arial"/>
                <w:b/>
                <w:bCs/>
                <w:color w:val="1F4E7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E78"/>
                <w:sz w:val="20"/>
                <w:szCs w:val="20"/>
              </w:rPr>
              <w:t>Controles</w:t>
            </w:r>
          </w:p>
        </w:tc>
      </w:tr>
      <w:tr w:rsidR="00BA7824" w:rsidTr="00BA7824">
        <w:trPr>
          <w:trHeight w:val="315"/>
          <w:jc w:val="center"/>
        </w:trPr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b/>
                <w:bCs/>
                <w:color w:val="1F4E78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b/>
                <w:bCs/>
                <w:color w:val="1F4E78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b/>
                <w:bCs/>
                <w:color w:val="1F4E78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b/>
                <w:bCs/>
                <w:color w:val="1F4E78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b/>
                <w:bCs/>
                <w:color w:val="1F4E78"/>
                <w:sz w:val="20"/>
                <w:szCs w:val="20"/>
              </w:rPr>
            </w:pPr>
          </w:p>
        </w:tc>
      </w:tr>
      <w:tr w:rsidR="00BA7824" w:rsidTr="00BA7824">
        <w:trPr>
          <w:trHeight w:val="1557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RI-1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Deficiencias en el seguimiento al Plan de Acción y la gestión inadecuada de los recursos necesarios para la ejecución de los proyectos del mismo; carencia del talento humano idóneo, infraestructura y recursos económicos.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Incumplimiento en la ejecución de los proyectos del plan de Acción del proceso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Incumplimiento de las Metas pactadas en el Plan de Acción y el respectivo Plan Estratégico de la Universidad.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Realización y cumplimiento del Plan de Acción </w:t>
            </w:r>
          </w:p>
        </w:tc>
      </w:tr>
      <w:tr w:rsidR="00BA7824" w:rsidTr="00BA7824">
        <w:trPr>
          <w:trHeight w:val="1494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RI-2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Falta de seguimiento a los convenios internacionales suscritos vigentes por parte de las unidades académicas y administrativas involucradas en el motor de internacionalización.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Incumplimiento de los objetivos propuestos en los convenios internacionales.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Terminación de Convenio por incumplimiento. Deficiente imagen de la Institución.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Formato de seguimiento de convenios</w:t>
            </w:r>
          </w:p>
        </w:tc>
      </w:tr>
      <w:tr w:rsidR="00BA7824" w:rsidTr="00BA7824">
        <w:trPr>
          <w:trHeight w:val="672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RI-3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Falta de publicidad pertinente. Ausencia de flexibilidad en los currículos. Deficiencia de idiomas extranjeros en nuestra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comunidad académica. Falta de incentivos económicos y/o apoyos financieros. Inoportuna renovación de convenios internacionales.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Deficiente movilidad internacional de estudiantes, docentes e investigadores.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Incumplimiento de las Metas pactadas en el Plan de Acción y el Plan Estratégico de la Universidad. Escaso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posicionamiento de la Institución a nivel nacional e internacional.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Por medio de los indicadores de movilidad se realizan los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controles respectivos para que este riesgo no se materialice. </w:t>
            </w:r>
          </w:p>
        </w:tc>
      </w:tr>
      <w:tr w:rsidR="00BA7824" w:rsidTr="00BA7824">
        <w:trPr>
          <w:trHeight w:val="1422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RI-4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Poco conocimiento y falta de capacitación del personal administrativo y docente, en materia de cooperación internacional. Incumplimiento de los requisitos.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Deficiente participación en convocatorias y redes de cooperación internacional.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Reducción o carencia en la participación de docentes, estudiantes e investigadores en ambientes internacionales de cooperación, afectando negativamente la internacionalización de la educación en la universidad, así como su posicionamiento.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 medio del indicador de participación en convocatorias internacionales, se realiza el control de este riesgo. </w:t>
            </w:r>
          </w:p>
        </w:tc>
      </w:tr>
      <w:tr w:rsidR="00BA7824" w:rsidTr="00BA7824">
        <w:trPr>
          <w:trHeight w:val="1565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RI-5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Caída de la conexión a Internet. Suspensión de los servicios de telefonía local, nacional e internacional. Suspensión de los servicios de correspondencia nacional e Internacional.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Inoportunidad y/o nulidad en las comunicaciones internacionales.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Pérdida de oportunidades y de alianzas estratégicas. Perdida del nivel de confianza en la Institución.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 medio de este indicador se pretende dar control, a que las comunicaciones con las otras IES no se vean afectadas.</w:t>
            </w:r>
          </w:p>
        </w:tc>
      </w:tr>
      <w:tr w:rsidR="00BA7824" w:rsidTr="00BA7824">
        <w:trPr>
          <w:trHeight w:val="1605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RI-6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Dependencia de información directa del personal de la ORI, cómo único canal de suministro de la información, dado la carencia de canales alternos de información.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Bajo nivel de la calidad de la asesoría a estudiantes y público en general.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Pérdida de oportunidades para participación en convocatorias y otras actividades internacionales.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7824" w:rsidRDefault="00BA78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 medio del sistema de PQRS, se da tratamiento y seguimiento a las asesorías prestadas por parte de la ORII</w:t>
            </w:r>
          </w:p>
        </w:tc>
      </w:tr>
    </w:tbl>
    <w:p w:rsidR="00F33523" w:rsidRPr="0000061E" w:rsidRDefault="00F33523" w:rsidP="002C0B84">
      <w:pPr>
        <w:jc w:val="both"/>
        <w:rPr>
          <w:rFonts w:ascii="Arial" w:hAnsi="Arial" w:cs="Arial"/>
          <w:b/>
        </w:rPr>
      </w:pPr>
    </w:p>
    <w:p w:rsidR="002C0B84" w:rsidRDefault="002C0B84" w:rsidP="00DF3A54">
      <w:pPr>
        <w:rPr>
          <w:rFonts w:ascii="Arial" w:hAnsi="Arial" w:cs="Arial"/>
          <w:b/>
        </w:rPr>
      </w:pPr>
    </w:p>
    <w:p w:rsidR="002C0B84" w:rsidRDefault="008D6A89" w:rsidP="008D6A89">
      <w:pPr>
        <w:jc w:val="both"/>
        <w:rPr>
          <w:rFonts w:ascii="Arial" w:hAnsi="Arial" w:cs="Arial"/>
        </w:rPr>
      </w:pPr>
      <w:r w:rsidRPr="008242B2">
        <w:rPr>
          <w:rFonts w:ascii="Arial" w:hAnsi="Arial" w:cs="Arial"/>
        </w:rPr>
        <w:t>Teniendo en cuenta que los controles son aquellas acciones que se realizan para prevenir, corregir o detectar la causa de un riesgo</w:t>
      </w:r>
      <w:r w:rsidR="00BD351F" w:rsidRPr="008242B2">
        <w:rPr>
          <w:rFonts w:ascii="Arial" w:hAnsi="Arial" w:cs="Arial"/>
        </w:rPr>
        <w:t>, se ev</w:t>
      </w:r>
      <w:r w:rsidR="00BA7824">
        <w:rPr>
          <w:rFonts w:ascii="Arial" w:hAnsi="Arial" w:cs="Arial"/>
        </w:rPr>
        <w:t>idencia que los controles identificados por el proceso no cumplen estas características, por ejemplo, los controles de los riesgos 3,4,5 y 6 son mecanismos de medición de resultado, no acciones que mitiguen la ocurrencia o impacto de un rie</w:t>
      </w:r>
      <w:r w:rsidR="001C1881">
        <w:rPr>
          <w:rFonts w:ascii="Arial" w:hAnsi="Arial" w:cs="Arial"/>
        </w:rPr>
        <w:t>s</w:t>
      </w:r>
      <w:r w:rsidR="00BA7824">
        <w:rPr>
          <w:rFonts w:ascii="Arial" w:hAnsi="Arial" w:cs="Arial"/>
        </w:rPr>
        <w:t>go.</w:t>
      </w:r>
    </w:p>
    <w:p w:rsidR="00327A12" w:rsidRDefault="00327A12" w:rsidP="00DF3A54">
      <w:pPr>
        <w:rPr>
          <w:rFonts w:ascii="Arial" w:hAnsi="Arial" w:cs="Arial"/>
          <w:b/>
        </w:rPr>
      </w:pPr>
    </w:p>
    <w:p w:rsidR="00327A12" w:rsidRPr="00DF3A54" w:rsidRDefault="00327A12" w:rsidP="00DF3A54">
      <w:pPr>
        <w:rPr>
          <w:rFonts w:ascii="Arial" w:hAnsi="Arial" w:cs="Arial"/>
          <w:b/>
        </w:rPr>
      </w:pPr>
    </w:p>
    <w:p w:rsidR="00AA48E5" w:rsidRDefault="00AA48E5" w:rsidP="00AA48E5">
      <w:pPr>
        <w:ind w:left="360" w:firstLine="348"/>
        <w:rPr>
          <w:rFonts w:ascii="Arial" w:hAnsi="Arial" w:cs="Arial"/>
          <w:b/>
        </w:rPr>
      </w:pPr>
      <w:r w:rsidRPr="00DF3A54">
        <w:rPr>
          <w:rFonts w:ascii="Arial" w:hAnsi="Arial" w:cs="Arial"/>
          <w:b/>
        </w:rPr>
        <w:t>6.1.  DEBILIDADES</w:t>
      </w:r>
    </w:p>
    <w:p w:rsidR="00B200F0" w:rsidRDefault="00B200F0" w:rsidP="00484392">
      <w:pPr>
        <w:jc w:val="both"/>
        <w:rPr>
          <w:rFonts w:ascii="Arial" w:hAnsi="Arial" w:cs="Arial"/>
        </w:rPr>
      </w:pPr>
    </w:p>
    <w:p w:rsidR="00B200F0" w:rsidRPr="00AD5F36" w:rsidRDefault="00B200F0" w:rsidP="004843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Teniendo en cuenta la importancia de los controles de los riesgos para la mitigación de su ocurrencia y/o impacto, se encuentra como una debilidad del proceso la identificación de estos.</w:t>
      </w:r>
    </w:p>
    <w:p w:rsidR="00811606" w:rsidRPr="00C31BD8" w:rsidRDefault="00811606" w:rsidP="00576C5E">
      <w:pPr>
        <w:jc w:val="both"/>
        <w:rPr>
          <w:rFonts w:ascii="Arial" w:hAnsi="Arial" w:cs="Arial"/>
        </w:rPr>
      </w:pPr>
    </w:p>
    <w:p w:rsidR="00C31BD8" w:rsidRPr="00DF3A54" w:rsidRDefault="00C31BD8" w:rsidP="00576C5E">
      <w:pPr>
        <w:jc w:val="both"/>
        <w:rPr>
          <w:rFonts w:ascii="Arial" w:hAnsi="Arial" w:cs="Arial"/>
          <w:b/>
        </w:rPr>
      </w:pPr>
    </w:p>
    <w:p w:rsidR="00AA48E5" w:rsidRPr="00DF3A54" w:rsidRDefault="00AA48E5" w:rsidP="00576C5E">
      <w:pPr>
        <w:ind w:left="360"/>
        <w:jc w:val="both"/>
        <w:rPr>
          <w:rFonts w:ascii="Arial" w:hAnsi="Arial" w:cs="Arial"/>
          <w:b/>
        </w:rPr>
      </w:pPr>
      <w:r w:rsidRPr="00DF3A54">
        <w:rPr>
          <w:rFonts w:ascii="Arial" w:hAnsi="Arial" w:cs="Arial"/>
        </w:rPr>
        <w:t xml:space="preserve">     </w:t>
      </w:r>
      <w:r w:rsidRPr="00DF3A54">
        <w:rPr>
          <w:rFonts w:ascii="Arial" w:hAnsi="Arial" w:cs="Arial"/>
          <w:b/>
        </w:rPr>
        <w:t>6.2.  FORTALEZAS</w:t>
      </w:r>
    </w:p>
    <w:p w:rsidR="00AA48E5" w:rsidRDefault="00AA48E5" w:rsidP="00576C5E">
      <w:pPr>
        <w:jc w:val="both"/>
        <w:rPr>
          <w:rFonts w:ascii="Arial" w:hAnsi="Arial" w:cs="Arial"/>
        </w:rPr>
      </w:pPr>
    </w:p>
    <w:p w:rsidR="00812B2B" w:rsidRPr="00DF3A54" w:rsidRDefault="00147763" w:rsidP="00576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fortaleza del proceso se encuentra disponibilidad, conocimiento y recepción de sus líderes ante la mejora continua lo cual contribuye a la consecución de los objetivos del proceso. </w:t>
      </w:r>
    </w:p>
    <w:p w:rsidR="00AA48E5" w:rsidRDefault="00AA48E5" w:rsidP="00576C5E">
      <w:pPr>
        <w:jc w:val="both"/>
        <w:rPr>
          <w:rFonts w:ascii="Arial" w:hAnsi="Arial" w:cs="Arial"/>
        </w:rPr>
      </w:pPr>
    </w:p>
    <w:p w:rsidR="00BE51D8" w:rsidRDefault="00BE51D8" w:rsidP="00576C5E">
      <w:pPr>
        <w:jc w:val="both"/>
        <w:rPr>
          <w:rFonts w:ascii="Arial" w:hAnsi="Arial" w:cs="Arial"/>
        </w:rPr>
      </w:pPr>
    </w:p>
    <w:p w:rsidR="00B200F0" w:rsidRPr="00DF3A54" w:rsidRDefault="00B200F0" w:rsidP="00576C5E">
      <w:pPr>
        <w:jc w:val="both"/>
        <w:rPr>
          <w:rFonts w:ascii="Arial" w:hAnsi="Arial" w:cs="Arial"/>
        </w:rPr>
      </w:pPr>
    </w:p>
    <w:p w:rsidR="00AA48E5" w:rsidRPr="00DF3A54" w:rsidRDefault="00AA48E5" w:rsidP="00576C5E">
      <w:pPr>
        <w:ind w:left="360"/>
        <w:jc w:val="both"/>
        <w:rPr>
          <w:rFonts w:ascii="Arial" w:hAnsi="Arial" w:cs="Arial"/>
          <w:b/>
        </w:rPr>
      </w:pPr>
      <w:r w:rsidRPr="00DF3A54">
        <w:rPr>
          <w:rFonts w:ascii="Arial" w:hAnsi="Arial" w:cs="Arial"/>
          <w:b/>
        </w:rPr>
        <w:lastRenderedPageBreak/>
        <w:t>7.  CONCLUSIONES</w:t>
      </w:r>
    </w:p>
    <w:p w:rsidR="00AA48E5" w:rsidRDefault="00AA48E5" w:rsidP="00576C5E">
      <w:pPr>
        <w:jc w:val="both"/>
        <w:rPr>
          <w:rFonts w:ascii="Arial" w:hAnsi="Arial" w:cs="Arial"/>
        </w:rPr>
      </w:pPr>
    </w:p>
    <w:p w:rsidR="00881393" w:rsidRDefault="00A041FE" w:rsidP="00576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 </w:t>
      </w:r>
      <w:r w:rsidR="00C74F81">
        <w:rPr>
          <w:rFonts w:ascii="Arial" w:hAnsi="Arial" w:cs="Arial"/>
        </w:rPr>
        <w:t xml:space="preserve">presente auditoria se concluye la necesidad e importancia </w:t>
      </w:r>
      <w:r w:rsidR="001F197D">
        <w:rPr>
          <w:rFonts w:ascii="Arial" w:hAnsi="Arial" w:cs="Arial"/>
        </w:rPr>
        <w:t xml:space="preserve">de reglamentar </w:t>
      </w:r>
      <w:r w:rsidR="00C74F81">
        <w:rPr>
          <w:rFonts w:ascii="Arial" w:hAnsi="Arial" w:cs="Arial"/>
        </w:rPr>
        <w:t xml:space="preserve">el programa </w:t>
      </w:r>
      <w:r w:rsidR="00F42BA5">
        <w:rPr>
          <w:rFonts w:ascii="Arial" w:hAnsi="Arial" w:cs="Arial"/>
        </w:rPr>
        <w:t>de apoyo institucional para la formación en estudios de postgrados en maestrías y doctorados</w:t>
      </w:r>
      <w:r w:rsidR="001F197D">
        <w:rPr>
          <w:rFonts w:ascii="Arial" w:hAnsi="Arial" w:cs="Arial"/>
        </w:rPr>
        <w:t xml:space="preserve">, de tal forma que </w:t>
      </w:r>
      <w:r w:rsidR="00F42BA5">
        <w:rPr>
          <w:rFonts w:ascii="Arial" w:hAnsi="Arial" w:cs="Arial"/>
        </w:rPr>
        <w:t xml:space="preserve"> </w:t>
      </w:r>
      <w:r w:rsidR="001F197D">
        <w:rPr>
          <w:rFonts w:ascii="Arial" w:hAnsi="Arial" w:cs="Arial"/>
        </w:rPr>
        <w:t>se encuentre alineado</w:t>
      </w:r>
      <w:r w:rsidR="00C74F81">
        <w:rPr>
          <w:rFonts w:ascii="Arial" w:hAnsi="Arial" w:cs="Arial"/>
        </w:rPr>
        <w:t xml:space="preserve"> a las necesidades y normas de la Universidad con el fin de evitar que se continúe presentando el incumplimiento </w:t>
      </w:r>
      <w:r w:rsidR="00F42BA5">
        <w:rPr>
          <w:rFonts w:ascii="Arial" w:hAnsi="Arial" w:cs="Arial"/>
        </w:rPr>
        <w:t>del objetivo del programa</w:t>
      </w:r>
      <w:r w:rsidR="0007065F">
        <w:rPr>
          <w:rFonts w:ascii="Arial" w:hAnsi="Arial" w:cs="Arial"/>
        </w:rPr>
        <w:t>, el cual se determina mediante el Acuerdo superior N° 000</w:t>
      </w:r>
      <w:r w:rsidR="001F197D">
        <w:rPr>
          <w:rFonts w:ascii="Arial" w:hAnsi="Arial" w:cs="Arial"/>
        </w:rPr>
        <w:t>013 del 8 de septiembre de 2010 e incrementar el indicador “Número de becarios beneficiados vinculados a la UA en peri</w:t>
      </w:r>
      <w:r w:rsidR="00881393">
        <w:rPr>
          <w:rFonts w:ascii="Arial" w:hAnsi="Arial" w:cs="Arial"/>
        </w:rPr>
        <w:t>odo de contraprestación por año” y la necesidad de reforzar los conocimientos sobre la administración del riesgo.</w:t>
      </w:r>
    </w:p>
    <w:p w:rsidR="00147763" w:rsidRDefault="00147763" w:rsidP="00576C5E">
      <w:pPr>
        <w:jc w:val="both"/>
        <w:rPr>
          <w:rFonts w:ascii="Arial" w:hAnsi="Arial" w:cs="Arial"/>
        </w:rPr>
      </w:pPr>
    </w:p>
    <w:p w:rsidR="00285EAE" w:rsidRPr="00DF3A54" w:rsidRDefault="00285EAE" w:rsidP="00AA48E5">
      <w:pPr>
        <w:rPr>
          <w:rFonts w:ascii="Arial" w:hAnsi="Arial" w:cs="Arial"/>
          <w:lang w:val="es-CO"/>
        </w:rPr>
      </w:pPr>
    </w:p>
    <w:p w:rsidR="00AA48E5" w:rsidRDefault="00AA48E5" w:rsidP="00AA48E5">
      <w:pPr>
        <w:ind w:left="360"/>
        <w:rPr>
          <w:rFonts w:ascii="Arial" w:hAnsi="Arial" w:cs="Arial"/>
          <w:b/>
        </w:rPr>
      </w:pPr>
      <w:r w:rsidRPr="00DF3A54">
        <w:rPr>
          <w:rFonts w:ascii="Arial" w:hAnsi="Arial" w:cs="Arial"/>
          <w:b/>
        </w:rPr>
        <w:t>8.  RECOMENDACIONES</w:t>
      </w:r>
    </w:p>
    <w:p w:rsidR="00285EAE" w:rsidRDefault="00285EAE" w:rsidP="00AA48E5">
      <w:pPr>
        <w:ind w:left="360"/>
        <w:rPr>
          <w:rFonts w:ascii="Arial" w:hAnsi="Arial" w:cs="Arial"/>
          <w:b/>
        </w:rPr>
      </w:pPr>
    </w:p>
    <w:p w:rsidR="006E761B" w:rsidRDefault="006E761B" w:rsidP="00904322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 gestión necesaria para que el estatuto de movilidad sea aprobado por el Consejo Superior.</w:t>
      </w:r>
    </w:p>
    <w:p w:rsidR="006E761B" w:rsidRPr="006E761B" w:rsidRDefault="00075E7C" w:rsidP="00904322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las respectivas modificaciones en la reglamentación del programa de apoyo institucional para la formación en estudios de postgrados en maestrías y doctorados con el</w:t>
      </w:r>
      <w:r w:rsidR="00365E66">
        <w:rPr>
          <w:rFonts w:ascii="Arial" w:hAnsi="Arial" w:cs="Arial"/>
        </w:rPr>
        <w:t xml:space="preserve"> fin de cumplir con su objetivo.</w:t>
      </w:r>
    </w:p>
    <w:p w:rsidR="001F059F" w:rsidRDefault="006E761B" w:rsidP="00904322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904322">
        <w:rPr>
          <w:rFonts w:ascii="Arial" w:hAnsi="Arial" w:cs="Arial"/>
        </w:rPr>
        <w:t xml:space="preserve"> momento de plantear las metas de los indicadores </w:t>
      </w:r>
      <w:r>
        <w:rPr>
          <w:rFonts w:ascii="Arial" w:hAnsi="Arial" w:cs="Arial"/>
        </w:rPr>
        <w:t xml:space="preserve">se recomienda tener en cuenta </w:t>
      </w:r>
      <w:r w:rsidR="00904322">
        <w:rPr>
          <w:rFonts w:ascii="Arial" w:hAnsi="Arial" w:cs="Arial"/>
        </w:rPr>
        <w:t>tanto los factores internos como externos que afectan su cu</w:t>
      </w:r>
      <w:r w:rsidR="00112C8C">
        <w:rPr>
          <w:rFonts w:ascii="Arial" w:hAnsi="Arial" w:cs="Arial"/>
        </w:rPr>
        <w:t>mplimiento</w:t>
      </w:r>
      <w:r w:rsidR="00904322">
        <w:rPr>
          <w:rFonts w:ascii="Arial" w:hAnsi="Arial" w:cs="Arial"/>
        </w:rPr>
        <w:t xml:space="preserve"> con el fin de establecer metas </w:t>
      </w:r>
      <w:r w:rsidR="00353440">
        <w:rPr>
          <w:rFonts w:ascii="Arial" w:hAnsi="Arial" w:cs="Arial"/>
        </w:rPr>
        <w:t xml:space="preserve">ajustadas a las capacidades del proceso tanto por su nivel </w:t>
      </w:r>
      <w:r w:rsidR="00112C8C">
        <w:rPr>
          <w:rFonts w:ascii="Arial" w:hAnsi="Arial" w:cs="Arial"/>
        </w:rPr>
        <w:t>de exigencia como de cumplimiento.</w:t>
      </w:r>
    </w:p>
    <w:p w:rsidR="003905E1" w:rsidRPr="00904322" w:rsidRDefault="003905E1" w:rsidP="00904322">
      <w:pPr>
        <w:pStyle w:val="Prrafodelista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CC0E45">
        <w:rPr>
          <w:rFonts w:ascii="Arial" w:hAnsi="Arial" w:cs="Arial"/>
        </w:rPr>
        <w:t xml:space="preserve">recomienda </w:t>
      </w:r>
      <w:r w:rsidR="00B200F0">
        <w:rPr>
          <w:rFonts w:ascii="Arial" w:hAnsi="Arial" w:cs="Arial"/>
        </w:rPr>
        <w:t>reforz</w:t>
      </w:r>
      <w:r w:rsidR="006E761B">
        <w:rPr>
          <w:rFonts w:ascii="Arial" w:hAnsi="Arial" w:cs="Arial"/>
        </w:rPr>
        <w:t>ar los conocimientos sobre los l</w:t>
      </w:r>
      <w:r w:rsidR="00B200F0">
        <w:rPr>
          <w:rFonts w:ascii="Arial" w:hAnsi="Arial" w:cs="Arial"/>
        </w:rPr>
        <w:t xml:space="preserve">ineamientos para </w:t>
      </w:r>
      <w:r w:rsidR="006E761B">
        <w:rPr>
          <w:rFonts w:ascii="Arial" w:hAnsi="Arial" w:cs="Arial"/>
        </w:rPr>
        <w:t>la administración del r</w:t>
      </w:r>
      <w:r w:rsidR="00B200F0">
        <w:rPr>
          <w:rFonts w:ascii="Arial" w:hAnsi="Arial" w:cs="Arial"/>
        </w:rPr>
        <w:t xml:space="preserve">iesgo </w:t>
      </w:r>
      <w:r w:rsidR="001F4492">
        <w:rPr>
          <w:rFonts w:ascii="Arial" w:hAnsi="Arial" w:cs="Arial"/>
        </w:rPr>
        <w:t>con el fin de</w:t>
      </w:r>
      <w:r w:rsidR="00B200F0">
        <w:rPr>
          <w:rFonts w:ascii="Arial" w:hAnsi="Arial" w:cs="Arial"/>
        </w:rPr>
        <w:t xml:space="preserve"> </w:t>
      </w:r>
      <w:r w:rsidR="00CC0E45">
        <w:rPr>
          <w:rFonts w:ascii="Arial" w:hAnsi="Arial" w:cs="Arial"/>
        </w:rPr>
        <w:t xml:space="preserve">revisar e identificar nuevamente los </w:t>
      </w:r>
      <w:r w:rsidR="00B200F0">
        <w:rPr>
          <w:rFonts w:ascii="Arial" w:hAnsi="Arial" w:cs="Arial"/>
        </w:rPr>
        <w:t xml:space="preserve">riesgos y </w:t>
      </w:r>
      <w:r w:rsidR="00CC0E45">
        <w:rPr>
          <w:rFonts w:ascii="Arial" w:hAnsi="Arial" w:cs="Arial"/>
        </w:rPr>
        <w:t>contro</w:t>
      </w:r>
      <w:r w:rsidR="00B200F0">
        <w:rPr>
          <w:rFonts w:ascii="Arial" w:hAnsi="Arial" w:cs="Arial"/>
        </w:rPr>
        <w:t>les</w:t>
      </w:r>
      <w:r w:rsidR="00CC0E45">
        <w:rPr>
          <w:rFonts w:ascii="Arial" w:hAnsi="Arial" w:cs="Arial"/>
        </w:rPr>
        <w:t xml:space="preserve"> del proceso</w:t>
      </w:r>
      <w:r w:rsidR="001F4492">
        <w:rPr>
          <w:rFonts w:ascii="Arial" w:hAnsi="Arial" w:cs="Arial"/>
        </w:rPr>
        <w:t>.</w:t>
      </w:r>
    </w:p>
    <w:p w:rsidR="001F059F" w:rsidRDefault="001F059F" w:rsidP="00AA48E5">
      <w:pPr>
        <w:rPr>
          <w:rFonts w:ascii="Arial" w:hAnsi="Arial" w:cs="Arial"/>
        </w:rPr>
      </w:pPr>
    </w:p>
    <w:p w:rsidR="001F059F" w:rsidRDefault="001F059F" w:rsidP="00AA48E5">
      <w:pPr>
        <w:rPr>
          <w:rFonts w:ascii="Arial" w:hAnsi="Arial" w:cs="Arial"/>
        </w:rPr>
      </w:pPr>
    </w:p>
    <w:p w:rsidR="004A7792" w:rsidRDefault="004A7792" w:rsidP="00AA48E5">
      <w:pPr>
        <w:rPr>
          <w:rFonts w:ascii="Arial" w:hAnsi="Arial" w:cs="Arial"/>
        </w:rPr>
      </w:pPr>
    </w:p>
    <w:p w:rsidR="00C40A70" w:rsidRDefault="00C40A70" w:rsidP="00AA48E5">
      <w:pPr>
        <w:rPr>
          <w:rFonts w:ascii="Arial" w:hAnsi="Arial" w:cs="Arial"/>
        </w:rPr>
      </w:pPr>
    </w:p>
    <w:p w:rsidR="00C40A70" w:rsidRPr="00DF3A54" w:rsidRDefault="00C40A70" w:rsidP="00AA48E5">
      <w:pPr>
        <w:rPr>
          <w:rFonts w:ascii="Arial" w:hAnsi="Arial" w:cs="Arial"/>
        </w:rPr>
      </w:pPr>
    </w:p>
    <w:p w:rsidR="00AA48E5" w:rsidRPr="00DF3A54" w:rsidRDefault="00AA48E5" w:rsidP="00AA48E5">
      <w:pPr>
        <w:rPr>
          <w:rFonts w:ascii="Arial" w:hAnsi="Arial" w:cs="Arial"/>
        </w:rPr>
      </w:pPr>
    </w:p>
    <w:p w:rsidR="00AA48E5" w:rsidRPr="00DF3A54" w:rsidRDefault="00AA48E5" w:rsidP="00AA48E5">
      <w:pPr>
        <w:rPr>
          <w:rFonts w:ascii="Arial" w:hAnsi="Arial" w:cs="Arial"/>
        </w:rPr>
      </w:pPr>
      <w:r w:rsidRPr="00DF3A54">
        <w:rPr>
          <w:rFonts w:ascii="Arial" w:hAnsi="Arial" w:cs="Arial"/>
        </w:rPr>
        <w:t>FIRMA DEL JEFE DE CONTROL INTERNO</w:t>
      </w:r>
    </w:p>
    <w:p w:rsidR="00AA48E5" w:rsidRPr="00DF3A54" w:rsidRDefault="00AA48E5" w:rsidP="00AA48E5">
      <w:pPr>
        <w:rPr>
          <w:rFonts w:ascii="Arial" w:hAnsi="Arial" w:cs="Arial"/>
        </w:rPr>
      </w:pPr>
    </w:p>
    <w:p w:rsidR="00AA48E5" w:rsidRPr="00DF3A54" w:rsidRDefault="00AA48E5" w:rsidP="00AA48E5">
      <w:pPr>
        <w:rPr>
          <w:rFonts w:ascii="Arial" w:hAnsi="Arial" w:cs="Arial"/>
        </w:rPr>
      </w:pPr>
    </w:p>
    <w:p w:rsidR="006320A0" w:rsidRPr="00DF3A54" w:rsidRDefault="00AA48E5" w:rsidP="00AA48E5">
      <w:pPr>
        <w:rPr>
          <w:rFonts w:ascii="Arial" w:hAnsi="Arial" w:cs="Arial"/>
        </w:rPr>
      </w:pPr>
      <w:r w:rsidRPr="00DF3A54">
        <w:rPr>
          <w:rFonts w:ascii="Arial" w:hAnsi="Arial" w:cs="Arial"/>
        </w:rPr>
        <w:t xml:space="preserve">Proyectó: </w:t>
      </w:r>
      <w:r w:rsidR="00965CAD" w:rsidRPr="00DF3A54">
        <w:rPr>
          <w:rFonts w:ascii="Arial" w:hAnsi="Arial" w:cs="Arial"/>
        </w:rPr>
        <w:t>Rina Mastrodomenico – Contratista Profesional</w:t>
      </w:r>
    </w:p>
    <w:p w:rsidR="006320A0" w:rsidRPr="00DF3A54" w:rsidRDefault="006320A0" w:rsidP="006320A0">
      <w:pPr>
        <w:rPr>
          <w:rFonts w:ascii="Arial" w:hAnsi="Arial" w:cs="Arial"/>
        </w:rPr>
      </w:pPr>
    </w:p>
    <w:p w:rsidR="006320A0" w:rsidRPr="00DF3A54" w:rsidRDefault="006320A0" w:rsidP="006320A0">
      <w:pPr>
        <w:rPr>
          <w:rFonts w:ascii="Arial" w:hAnsi="Arial" w:cs="Arial"/>
        </w:rPr>
      </w:pPr>
    </w:p>
    <w:p w:rsidR="006320A0" w:rsidRPr="00DF3A54" w:rsidRDefault="006320A0" w:rsidP="006320A0">
      <w:pPr>
        <w:rPr>
          <w:rFonts w:ascii="Arial" w:hAnsi="Arial" w:cs="Arial"/>
        </w:rPr>
      </w:pPr>
    </w:p>
    <w:p w:rsidR="009F4D75" w:rsidRPr="001A5DF9" w:rsidRDefault="009F4D75" w:rsidP="00BD0826">
      <w:pPr>
        <w:tabs>
          <w:tab w:val="left" w:pos="2622"/>
        </w:tabs>
        <w:jc w:val="center"/>
        <w:rPr>
          <w:rFonts w:ascii="Arial" w:hAnsi="Arial" w:cs="Arial"/>
          <w:b/>
          <w:lang w:val="es-CO"/>
        </w:rPr>
      </w:pPr>
    </w:p>
    <w:sectPr w:rsidR="009F4D75" w:rsidRPr="001A5DF9" w:rsidSect="0064437C">
      <w:headerReference w:type="default" r:id="rId10"/>
      <w:pgSz w:w="11906" w:h="16838" w:code="9"/>
      <w:pgMar w:top="1417" w:right="17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5F" w:rsidRDefault="0048665F">
      <w:r>
        <w:separator/>
      </w:r>
    </w:p>
  </w:endnote>
  <w:endnote w:type="continuationSeparator" w:id="0">
    <w:p w:rsidR="0048665F" w:rsidRDefault="0048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5F" w:rsidRDefault="0048665F">
      <w:r>
        <w:separator/>
      </w:r>
    </w:p>
  </w:footnote>
  <w:footnote w:type="continuationSeparator" w:id="0">
    <w:p w:rsidR="0048665F" w:rsidRDefault="0048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04"/>
      <w:gridCol w:w="2704"/>
    </w:tblGrid>
    <w:tr w:rsidR="00AA48E5" w:rsidRPr="001A5E94">
      <w:trPr>
        <w:trHeight w:val="318"/>
      </w:trPr>
      <w:tc>
        <w:tcPr>
          <w:tcW w:w="6204" w:type="dxa"/>
          <w:vMerge w:val="restart"/>
        </w:tcPr>
        <w:p w:rsidR="00AA48E5" w:rsidRDefault="00B22205" w:rsidP="00AB587D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785620" cy="629920"/>
                <wp:effectExtent l="0" t="0" r="5080" b="0"/>
                <wp:docPr id="18" name="Imagen 18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62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4" w:type="dxa"/>
          <w:vAlign w:val="center"/>
        </w:tcPr>
        <w:p w:rsidR="00AA48E5" w:rsidRPr="00680A99" w:rsidRDefault="00B22205" w:rsidP="00AB587D">
          <w:pPr>
            <w:pStyle w:val="Encabezado"/>
            <w:rPr>
              <w:rFonts w:ascii="Arial" w:hAnsi="Arial" w:cs="Arial"/>
              <w:b/>
              <w:sz w:val="20"/>
            </w:rPr>
          </w:pPr>
          <w:r w:rsidRPr="00680A99">
            <w:rPr>
              <w:rFonts w:ascii="Arial" w:hAnsi="Arial" w:cs="Arial"/>
              <w:b/>
              <w:sz w:val="20"/>
            </w:rPr>
            <w:t xml:space="preserve">CÓDIGO: </w:t>
          </w:r>
          <w:r w:rsidRPr="00680A99">
            <w:rPr>
              <w:rFonts w:ascii="Arial" w:hAnsi="Arial" w:cs="Arial"/>
              <w:sz w:val="20"/>
            </w:rPr>
            <w:t>FOR-CI-006</w:t>
          </w:r>
        </w:p>
      </w:tc>
    </w:tr>
    <w:tr w:rsidR="00AA48E5" w:rsidRPr="005525CA">
      <w:trPr>
        <w:trHeight w:val="318"/>
      </w:trPr>
      <w:tc>
        <w:tcPr>
          <w:tcW w:w="6204" w:type="dxa"/>
          <w:vMerge/>
        </w:tcPr>
        <w:p w:rsidR="00AA48E5" w:rsidRDefault="00AA48E5" w:rsidP="00AB587D">
          <w:pPr>
            <w:pStyle w:val="Encabezado"/>
            <w:rPr>
              <w:noProof/>
            </w:rPr>
          </w:pPr>
        </w:p>
      </w:tc>
      <w:tc>
        <w:tcPr>
          <w:tcW w:w="2704" w:type="dxa"/>
          <w:vAlign w:val="center"/>
        </w:tcPr>
        <w:p w:rsidR="00AA48E5" w:rsidRPr="00680A99" w:rsidRDefault="00B22205" w:rsidP="00AB587D">
          <w:pPr>
            <w:pStyle w:val="Encabezado"/>
            <w:rPr>
              <w:rFonts w:ascii="Arial" w:hAnsi="Arial" w:cs="Arial"/>
              <w:b/>
              <w:sz w:val="20"/>
            </w:rPr>
          </w:pPr>
          <w:r w:rsidRPr="00680A99">
            <w:rPr>
              <w:rFonts w:ascii="Arial" w:hAnsi="Arial" w:cs="Arial"/>
              <w:b/>
              <w:sz w:val="20"/>
            </w:rPr>
            <w:t xml:space="preserve">VERSIÓN: </w:t>
          </w:r>
          <w:r w:rsidRPr="00680A99">
            <w:rPr>
              <w:rFonts w:ascii="Arial" w:hAnsi="Arial" w:cs="Arial"/>
              <w:sz w:val="20"/>
            </w:rPr>
            <w:t>0</w:t>
          </w:r>
        </w:p>
      </w:tc>
    </w:tr>
    <w:tr w:rsidR="00AA48E5" w:rsidRPr="005525CA">
      <w:trPr>
        <w:trHeight w:val="318"/>
      </w:trPr>
      <w:tc>
        <w:tcPr>
          <w:tcW w:w="6204" w:type="dxa"/>
          <w:vMerge/>
        </w:tcPr>
        <w:p w:rsidR="00AA48E5" w:rsidRDefault="00AA48E5" w:rsidP="00AB587D">
          <w:pPr>
            <w:pStyle w:val="Encabezado"/>
            <w:rPr>
              <w:noProof/>
            </w:rPr>
          </w:pPr>
        </w:p>
      </w:tc>
      <w:tc>
        <w:tcPr>
          <w:tcW w:w="2704" w:type="dxa"/>
          <w:vAlign w:val="center"/>
        </w:tcPr>
        <w:p w:rsidR="00AA48E5" w:rsidRPr="00680A99" w:rsidRDefault="007A2E13" w:rsidP="007A2E13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FECHA</w:t>
          </w:r>
          <w:r w:rsidR="00AA48E5" w:rsidRPr="00680A99">
            <w:rPr>
              <w:rFonts w:ascii="Arial" w:hAnsi="Arial" w:cs="Arial"/>
              <w:b/>
              <w:sz w:val="20"/>
            </w:rPr>
            <w:t xml:space="preserve">: </w:t>
          </w:r>
          <w:r w:rsidRPr="007A2E13">
            <w:rPr>
              <w:rFonts w:ascii="Arial" w:hAnsi="Arial" w:cs="Arial"/>
              <w:sz w:val="20"/>
            </w:rPr>
            <w:t>12/02/2012</w:t>
          </w:r>
        </w:p>
      </w:tc>
    </w:tr>
    <w:tr w:rsidR="00AA48E5" w:rsidRPr="001E2B52">
      <w:trPr>
        <w:trHeight w:val="559"/>
      </w:trPr>
      <w:tc>
        <w:tcPr>
          <w:tcW w:w="8908" w:type="dxa"/>
          <w:gridSpan w:val="2"/>
          <w:vAlign w:val="center"/>
        </w:tcPr>
        <w:p w:rsidR="00AA48E5" w:rsidRPr="001E2B52" w:rsidRDefault="00AA48E5" w:rsidP="00AB587D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INFORME DE AUDITORIA DE CONTROL INTERNO</w:t>
          </w:r>
        </w:p>
      </w:tc>
    </w:tr>
  </w:tbl>
  <w:p w:rsidR="00AA48E5" w:rsidRDefault="00AA48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6AC"/>
    <w:multiLevelType w:val="hybridMultilevel"/>
    <w:tmpl w:val="8AAA4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CB0"/>
    <w:multiLevelType w:val="hybridMultilevel"/>
    <w:tmpl w:val="78804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27EA"/>
    <w:multiLevelType w:val="hybridMultilevel"/>
    <w:tmpl w:val="E806E7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0600"/>
    <w:multiLevelType w:val="hybridMultilevel"/>
    <w:tmpl w:val="B900CE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0969"/>
    <w:multiLevelType w:val="hybridMultilevel"/>
    <w:tmpl w:val="6876FF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D58BD"/>
    <w:multiLevelType w:val="hybridMultilevel"/>
    <w:tmpl w:val="20689F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306C1"/>
    <w:multiLevelType w:val="hybridMultilevel"/>
    <w:tmpl w:val="9B3AAD4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B188F"/>
    <w:multiLevelType w:val="hybridMultilevel"/>
    <w:tmpl w:val="968CE6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7828"/>
    <w:multiLevelType w:val="multilevel"/>
    <w:tmpl w:val="BFC0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C70AF"/>
    <w:multiLevelType w:val="hybridMultilevel"/>
    <w:tmpl w:val="66A89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1378"/>
    <w:multiLevelType w:val="hybridMultilevel"/>
    <w:tmpl w:val="090EDF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30BEE"/>
    <w:multiLevelType w:val="hybridMultilevel"/>
    <w:tmpl w:val="D34ED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80C78"/>
    <w:multiLevelType w:val="hybridMultilevel"/>
    <w:tmpl w:val="FFD8CF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B7C78"/>
    <w:multiLevelType w:val="hybridMultilevel"/>
    <w:tmpl w:val="D63E80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B5793"/>
    <w:multiLevelType w:val="hybridMultilevel"/>
    <w:tmpl w:val="CA6647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8277D"/>
    <w:multiLevelType w:val="hybridMultilevel"/>
    <w:tmpl w:val="36D011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158D"/>
    <w:multiLevelType w:val="hybridMultilevel"/>
    <w:tmpl w:val="70C0E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666F2"/>
    <w:multiLevelType w:val="hybridMultilevel"/>
    <w:tmpl w:val="2482FD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A66D1"/>
    <w:multiLevelType w:val="multilevel"/>
    <w:tmpl w:val="C902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EFD7B22"/>
    <w:multiLevelType w:val="hybridMultilevel"/>
    <w:tmpl w:val="46664E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146C"/>
    <w:multiLevelType w:val="hybridMultilevel"/>
    <w:tmpl w:val="7116E2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85785"/>
    <w:multiLevelType w:val="hybridMultilevel"/>
    <w:tmpl w:val="C84CBA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C2C13"/>
    <w:multiLevelType w:val="hybridMultilevel"/>
    <w:tmpl w:val="096CE3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36461"/>
    <w:multiLevelType w:val="hybridMultilevel"/>
    <w:tmpl w:val="FD4E4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47210"/>
    <w:multiLevelType w:val="hybridMultilevel"/>
    <w:tmpl w:val="3C18DB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735D8"/>
    <w:multiLevelType w:val="hybridMultilevel"/>
    <w:tmpl w:val="CB4CA9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16309"/>
    <w:multiLevelType w:val="hybridMultilevel"/>
    <w:tmpl w:val="334427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17F3D"/>
    <w:multiLevelType w:val="hybridMultilevel"/>
    <w:tmpl w:val="5B124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C3CC6"/>
    <w:multiLevelType w:val="hybridMultilevel"/>
    <w:tmpl w:val="D34E1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616E8"/>
    <w:multiLevelType w:val="hybridMultilevel"/>
    <w:tmpl w:val="0A104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07EE4"/>
    <w:multiLevelType w:val="hybridMultilevel"/>
    <w:tmpl w:val="AF96B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27CDD"/>
    <w:multiLevelType w:val="hybridMultilevel"/>
    <w:tmpl w:val="19146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62B4B"/>
    <w:multiLevelType w:val="hybridMultilevel"/>
    <w:tmpl w:val="54ACE0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05F75"/>
    <w:multiLevelType w:val="hybridMultilevel"/>
    <w:tmpl w:val="888CDB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60CA4"/>
    <w:multiLevelType w:val="multilevel"/>
    <w:tmpl w:val="675C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373931"/>
    <w:multiLevelType w:val="multilevel"/>
    <w:tmpl w:val="91EC8AD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35"/>
  </w:num>
  <w:num w:numId="3">
    <w:abstractNumId w:val="27"/>
  </w:num>
  <w:num w:numId="4">
    <w:abstractNumId w:val="17"/>
  </w:num>
  <w:num w:numId="5">
    <w:abstractNumId w:val="10"/>
  </w:num>
  <w:num w:numId="6">
    <w:abstractNumId w:val="23"/>
  </w:num>
  <w:num w:numId="7">
    <w:abstractNumId w:val="33"/>
  </w:num>
  <w:num w:numId="8">
    <w:abstractNumId w:val="26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20"/>
  </w:num>
  <w:num w:numId="14">
    <w:abstractNumId w:val="9"/>
  </w:num>
  <w:num w:numId="15">
    <w:abstractNumId w:val="11"/>
  </w:num>
  <w:num w:numId="16">
    <w:abstractNumId w:val="24"/>
  </w:num>
  <w:num w:numId="17">
    <w:abstractNumId w:val="34"/>
  </w:num>
  <w:num w:numId="18">
    <w:abstractNumId w:val="0"/>
  </w:num>
  <w:num w:numId="19">
    <w:abstractNumId w:val="14"/>
  </w:num>
  <w:num w:numId="20">
    <w:abstractNumId w:val="32"/>
  </w:num>
  <w:num w:numId="21">
    <w:abstractNumId w:val="1"/>
  </w:num>
  <w:num w:numId="22">
    <w:abstractNumId w:val="3"/>
  </w:num>
  <w:num w:numId="23">
    <w:abstractNumId w:val="5"/>
  </w:num>
  <w:num w:numId="24">
    <w:abstractNumId w:val="28"/>
  </w:num>
  <w:num w:numId="25">
    <w:abstractNumId w:val="30"/>
  </w:num>
  <w:num w:numId="26">
    <w:abstractNumId w:val="21"/>
  </w:num>
  <w:num w:numId="27">
    <w:abstractNumId w:val="22"/>
  </w:num>
  <w:num w:numId="28">
    <w:abstractNumId w:val="19"/>
  </w:num>
  <w:num w:numId="29">
    <w:abstractNumId w:val="31"/>
  </w:num>
  <w:num w:numId="30">
    <w:abstractNumId w:val="15"/>
  </w:num>
  <w:num w:numId="31">
    <w:abstractNumId w:val="16"/>
  </w:num>
  <w:num w:numId="32">
    <w:abstractNumId w:val="25"/>
  </w:num>
  <w:num w:numId="33">
    <w:abstractNumId w:val="12"/>
  </w:num>
  <w:num w:numId="34">
    <w:abstractNumId w:val="6"/>
  </w:num>
  <w:num w:numId="35">
    <w:abstractNumId w:val="1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27"/>
    <w:rsid w:val="0000061E"/>
    <w:rsid w:val="00010C5C"/>
    <w:rsid w:val="000215F1"/>
    <w:rsid w:val="00022BD4"/>
    <w:rsid w:val="00052B60"/>
    <w:rsid w:val="0005356A"/>
    <w:rsid w:val="0007065F"/>
    <w:rsid w:val="000729B5"/>
    <w:rsid w:val="00075579"/>
    <w:rsid w:val="00075E7C"/>
    <w:rsid w:val="00077642"/>
    <w:rsid w:val="00082066"/>
    <w:rsid w:val="00082F0A"/>
    <w:rsid w:val="000837C4"/>
    <w:rsid w:val="00090610"/>
    <w:rsid w:val="00092DE6"/>
    <w:rsid w:val="000A2A85"/>
    <w:rsid w:val="000C0D99"/>
    <w:rsid w:val="000C0E6E"/>
    <w:rsid w:val="000C50C8"/>
    <w:rsid w:val="000C778D"/>
    <w:rsid w:val="000D37E8"/>
    <w:rsid w:val="000D76B5"/>
    <w:rsid w:val="000E3285"/>
    <w:rsid w:val="000F1437"/>
    <w:rsid w:val="000F486D"/>
    <w:rsid w:val="000F5707"/>
    <w:rsid w:val="0010173E"/>
    <w:rsid w:val="00102798"/>
    <w:rsid w:val="00103034"/>
    <w:rsid w:val="00104D7E"/>
    <w:rsid w:val="00112C8C"/>
    <w:rsid w:val="00115F18"/>
    <w:rsid w:val="0011694F"/>
    <w:rsid w:val="00121BF9"/>
    <w:rsid w:val="00132BA4"/>
    <w:rsid w:val="00141AF9"/>
    <w:rsid w:val="00145361"/>
    <w:rsid w:val="00147763"/>
    <w:rsid w:val="001638FC"/>
    <w:rsid w:val="00170A47"/>
    <w:rsid w:val="00171BB8"/>
    <w:rsid w:val="00172AEC"/>
    <w:rsid w:val="00193D09"/>
    <w:rsid w:val="00194D95"/>
    <w:rsid w:val="001A58E8"/>
    <w:rsid w:val="001A5DF9"/>
    <w:rsid w:val="001B2FDA"/>
    <w:rsid w:val="001B352B"/>
    <w:rsid w:val="001B7F2B"/>
    <w:rsid w:val="001C1881"/>
    <w:rsid w:val="001C21C7"/>
    <w:rsid w:val="001C2EC3"/>
    <w:rsid w:val="001C2FDD"/>
    <w:rsid w:val="001C4F4F"/>
    <w:rsid w:val="001C6077"/>
    <w:rsid w:val="001C717D"/>
    <w:rsid w:val="001D1653"/>
    <w:rsid w:val="001F03EF"/>
    <w:rsid w:val="001F059F"/>
    <w:rsid w:val="001F197D"/>
    <w:rsid w:val="001F4492"/>
    <w:rsid w:val="00202BCA"/>
    <w:rsid w:val="00202DB8"/>
    <w:rsid w:val="00206D1F"/>
    <w:rsid w:val="002075C9"/>
    <w:rsid w:val="0021462C"/>
    <w:rsid w:val="00220114"/>
    <w:rsid w:val="00221831"/>
    <w:rsid w:val="002220BE"/>
    <w:rsid w:val="00225053"/>
    <w:rsid w:val="0023612F"/>
    <w:rsid w:val="002412B0"/>
    <w:rsid w:val="0024228E"/>
    <w:rsid w:val="00242B59"/>
    <w:rsid w:val="00245D77"/>
    <w:rsid w:val="00251C7D"/>
    <w:rsid w:val="00257FAC"/>
    <w:rsid w:val="0026265D"/>
    <w:rsid w:val="00285EAE"/>
    <w:rsid w:val="002A37D9"/>
    <w:rsid w:val="002A4857"/>
    <w:rsid w:val="002A7F66"/>
    <w:rsid w:val="002C0B84"/>
    <w:rsid w:val="002C4677"/>
    <w:rsid w:val="002C7614"/>
    <w:rsid w:val="002D01D4"/>
    <w:rsid w:val="002D4FBC"/>
    <w:rsid w:val="002F1488"/>
    <w:rsid w:val="002F195A"/>
    <w:rsid w:val="00302E39"/>
    <w:rsid w:val="00312B35"/>
    <w:rsid w:val="0031340C"/>
    <w:rsid w:val="00316345"/>
    <w:rsid w:val="00321F04"/>
    <w:rsid w:val="00327A12"/>
    <w:rsid w:val="00335882"/>
    <w:rsid w:val="00341689"/>
    <w:rsid w:val="00353440"/>
    <w:rsid w:val="003534E2"/>
    <w:rsid w:val="00354711"/>
    <w:rsid w:val="00362CF4"/>
    <w:rsid w:val="0036341E"/>
    <w:rsid w:val="00363F81"/>
    <w:rsid w:val="00365D07"/>
    <w:rsid w:val="00365E66"/>
    <w:rsid w:val="003706A1"/>
    <w:rsid w:val="00374A88"/>
    <w:rsid w:val="00377681"/>
    <w:rsid w:val="003905E1"/>
    <w:rsid w:val="003E73B7"/>
    <w:rsid w:val="003E7D9A"/>
    <w:rsid w:val="003F008E"/>
    <w:rsid w:val="003F3E64"/>
    <w:rsid w:val="0041056A"/>
    <w:rsid w:val="004135AE"/>
    <w:rsid w:val="004138BB"/>
    <w:rsid w:val="0041559C"/>
    <w:rsid w:val="0042291C"/>
    <w:rsid w:val="00422B96"/>
    <w:rsid w:val="00430436"/>
    <w:rsid w:val="00432727"/>
    <w:rsid w:val="0043313E"/>
    <w:rsid w:val="004422B0"/>
    <w:rsid w:val="00456D83"/>
    <w:rsid w:val="004656C3"/>
    <w:rsid w:val="00471131"/>
    <w:rsid w:val="00471D68"/>
    <w:rsid w:val="00482929"/>
    <w:rsid w:val="00484392"/>
    <w:rsid w:val="0048665F"/>
    <w:rsid w:val="0048716C"/>
    <w:rsid w:val="00491A33"/>
    <w:rsid w:val="00493E3E"/>
    <w:rsid w:val="004A4203"/>
    <w:rsid w:val="004A7792"/>
    <w:rsid w:val="004F5636"/>
    <w:rsid w:val="004F7F02"/>
    <w:rsid w:val="00501725"/>
    <w:rsid w:val="0050421D"/>
    <w:rsid w:val="00513F72"/>
    <w:rsid w:val="0051583F"/>
    <w:rsid w:val="00517986"/>
    <w:rsid w:val="00521634"/>
    <w:rsid w:val="00524A27"/>
    <w:rsid w:val="0052732A"/>
    <w:rsid w:val="005275D7"/>
    <w:rsid w:val="00530A74"/>
    <w:rsid w:val="00534FCC"/>
    <w:rsid w:val="005470B7"/>
    <w:rsid w:val="00547CBA"/>
    <w:rsid w:val="005541A9"/>
    <w:rsid w:val="005561A3"/>
    <w:rsid w:val="005635D2"/>
    <w:rsid w:val="00564759"/>
    <w:rsid w:val="00567C58"/>
    <w:rsid w:val="00576C5E"/>
    <w:rsid w:val="00593EB4"/>
    <w:rsid w:val="005B3D46"/>
    <w:rsid w:val="005B5684"/>
    <w:rsid w:val="005B7A4A"/>
    <w:rsid w:val="005C2B09"/>
    <w:rsid w:val="005C32B5"/>
    <w:rsid w:val="005C60F0"/>
    <w:rsid w:val="005D10B3"/>
    <w:rsid w:val="005F64F3"/>
    <w:rsid w:val="005F76BD"/>
    <w:rsid w:val="00603997"/>
    <w:rsid w:val="00611DE2"/>
    <w:rsid w:val="00613A8F"/>
    <w:rsid w:val="006147E6"/>
    <w:rsid w:val="00614E5B"/>
    <w:rsid w:val="00621B48"/>
    <w:rsid w:val="006320A0"/>
    <w:rsid w:val="00634581"/>
    <w:rsid w:val="00641B90"/>
    <w:rsid w:val="0064437C"/>
    <w:rsid w:val="0065108C"/>
    <w:rsid w:val="0065157E"/>
    <w:rsid w:val="006558AE"/>
    <w:rsid w:val="00657A45"/>
    <w:rsid w:val="00673706"/>
    <w:rsid w:val="00680555"/>
    <w:rsid w:val="00680A99"/>
    <w:rsid w:val="00681B97"/>
    <w:rsid w:val="00681E8E"/>
    <w:rsid w:val="00690E96"/>
    <w:rsid w:val="00694DC4"/>
    <w:rsid w:val="006B021A"/>
    <w:rsid w:val="006C3973"/>
    <w:rsid w:val="006C48CB"/>
    <w:rsid w:val="006D2CF4"/>
    <w:rsid w:val="006E761B"/>
    <w:rsid w:val="006F0975"/>
    <w:rsid w:val="006F234A"/>
    <w:rsid w:val="006F539F"/>
    <w:rsid w:val="00715324"/>
    <w:rsid w:val="0072728E"/>
    <w:rsid w:val="00736C27"/>
    <w:rsid w:val="00737339"/>
    <w:rsid w:val="00747188"/>
    <w:rsid w:val="00747936"/>
    <w:rsid w:val="007816AB"/>
    <w:rsid w:val="00783897"/>
    <w:rsid w:val="00791CDB"/>
    <w:rsid w:val="0079674C"/>
    <w:rsid w:val="007A274A"/>
    <w:rsid w:val="007A2E13"/>
    <w:rsid w:val="007A5B78"/>
    <w:rsid w:val="007B640A"/>
    <w:rsid w:val="007D0318"/>
    <w:rsid w:val="007D1492"/>
    <w:rsid w:val="007E2729"/>
    <w:rsid w:val="0080117B"/>
    <w:rsid w:val="00804708"/>
    <w:rsid w:val="008052EE"/>
    <w:rsid w:val="00811606"/>
    <w:rsid w:val="00812B2B"/>
    <w:rsid w:val="00814AA7"/>
    <w:rsid w:val="008225CE"/>
    <w:rsid w:val="008242B2"/>
    <w:rsid w:val="00865DF4"/>
    <w:rsid w:val="00870BDE"/>
    <w:rsid w:val="00875C2A"/>
    <w:rsid w:val="00881393"/>
    <w:rsid w:val="00881E53"/>
    <w:rsid w:val="008A28FF"/>
    <w:rsid w:val="008A2D7E"/>
    <w:rsid w:val="008A59E0"/>
    <w:rsid w:val="008C48B6"/>
    <w:rsid w:val="008D2791"/>
    <w:rsid w:val="008D6A89"/>
    <w:rsid w:val="008E229B"/>
    <w:rsid w:val="008E2850"/>
    <w:rsid w:val="008F5913"/>
    <w:rsid w:val="00904322"/>
    <w:rsid w:val="00905BF2"/>
    <w:rsid w:val="00906F37"/>
    <w:rsid w:val="009136F2"/>
    <w:rsid w:val="00920138"/>
    <w:rsid w:val="00934B63"/>
    <w:rsid w:val="0095558E"/>
    <w:rsid w:val="0095792F"/>
    <w:rsid w:val="00957A8F"/>
    <w:rsid w:val="00960BA6"/>
    <w:rsid w:val="00965CAD"/>
    <w:rsid w:val="00970C90"/>
    <w:rsid w:val="009730CF"/>
    <w:rsid w:val="009736F1"/>
    <w:rsid w:val="00976048"/>
    <w:rsid w:val="00980018"/>
    <w:rsid w:val="00982ACD"/>
    <w:rsid w:val="00987029"/>
    <w:rsid w:val="0099315A"/>
    <w:rsid w:val="00997090"/>
    <w:rsid w:val="009A13E3"/>
    <w:rsid w:val="009A3797"/>
    <w:rsid w:val="009A438B"/>
    <w:rsid w:val="009B209A"/>
    <w:rsid w:val="009C1B80"/>
    <w:rsid w:val="009C5841"/>
    <w:rsid w:val="009D48A1"/>
    <w:rsid w:val="009E20F6"/>
    <w:rsid w:val="009E4F87"/>
    <w:rsid w:val="009F3DF8"/>
    <w:rsid w:val="009F4D75"/>
    <w:rsid w:val="00A01B53"/>
    <w:rsid w:val="00A041FE"/>
    <w:rsid w:val="00A07CA5"/>
    <w:rsid w:val="00A13772"/>
    <w:rsid w:val="00A2228E"/>
    <w:rsid w:val="00A25A09"/>
    <w:rsid w:val="00A343B2"/>
    <w:rsid w:val="00A42191"/>
    <w:rsid w:val="00A431D8"/>
    <w:rsid w:val="00A44A57"/>
    <w:rsid w:val="00A601FB"/>
    <w:rsid w:val="00A75A51"/>
    <w:rsid w:val="00A824DE"/>
    <w:rsid w:val="00A8782C"/>
    <w:rsid w:val="00A926B0"/>
    <w:rsid w:val="00AA1431"/>
    <w:rsid w:val="00AA2898"/>
    <w:rsid w:val="00AA48E5"/>
    <w:rsid w:val="00AB587D"/>
    <w:rsid w:val="00AD0377"/>
    <w:rsid w:val="00AD3D8A"/>
    <w:rsid w:val="00AD5F36"/>
    <w:rsid w:val="00AE0CF4"/>
    <w:rsid w:val="00AE591F"/>
    <w:rsid w:val="00AE6D29"/>
    <w:rsid w:val="00AF0184"/>
    <w:rsid w:val="00AF4A61"/>
    <w:rsid w:val="00AF5FA7"/>
    <w:rsid w:val="00B04F87"/>
    <w:rsid w:val="00B12413"/>
    <w:rsid w:val="00B200F0"/>
    <w:rsid w:val="00B20261"/>
    <w:rsid w:val="00B22205"/>
    <w:rsid w:val="00B309BC"/>
    <w:rsid w:val="00B35271"/>
    <w:rsid w:val="00B3651A"/>
    <w:rsid w:val="00B51B26"/>
    <w:rsid w:val="00B64D47"/>
    <w:rsid w:val="00B71F78"/>
    <w:rsid w:val="00B82131"/>
    <w:rsid w:val="00B90534"/>
    <w:rsid w:val="00B955D8"/>
    <w:rsid w:val="00BA57DC"/>
    <w:rsid w:val="00BA7824"/>
    <w:rsid w:val="00BB1A31"/>
    <w:rsid w:val="00BC4607"/>
    <w:rsid w:val="00BC4AAF"/>
    <w:rsid w:val="00BC7044"/>
    <w:rsid w:val="00BD0826"/>
    <w:rsid w:val="00BD221C"/>
    <w:rsid w:val="00BD351F"/>
    <w:rsid w:val="00BD3ED4"/>
    <w:rsid w:val="00BE19B6"/>
    <w:rsid w:val="00BE51D8"/>
    <w:rsid w:val="00BE5766"/>
    <w:rsid w:val="00BE5BED"/>
    <w:rsid w:val="00BE636C"/>
    <w:rsid w:val="00BF395A"/>
    <w:rsid w:val="00C11E2C"/>
    <w:rsid w:val="00C16257"/>
    <w:rsid w:val="00C22991"/>
    <w:rsid w:val="00C31BD8"/>
    <w:rsid w:val="00C32570"/>
    <w:rsid w:val="00C40A70"/>
    <w:rsid w:val="00C431D0"/>
    <w:rsid w:val="00C52B30"/>
    <w:rsid w:val="00C54325"/>
    <w:rsid w:val="00C6349C"/>
    <w:rsid w:val="00C65E97"/>
    <w:rsid w:val="00C74F81"/>
    <w:rsid w:val="00C76A4C"/>
    <w:rsid w:val="00C80196"/>
    <w:rsid w:val="00C85789"/>
    <w:rsid w:val="00CB3568"/>
    <w:rsid w:val="00CB5DEC"/>
    <w:rsid w:val="00CC0E45"/>
    <w:rsid w:val="00CD498F"/>
    <w:rsid w:val="00D125AB"/>
    <w:rsid w:val="00D12CEC"/>
    <w:rsid w:val="00D15C8B"/>
    <w:rsid w:val="00D23D20"/>
    <w:rsid w:val="00D252F1"/>
    <w:rsid w:val="00D2613E"/>
    <w:rsid w:val="00D31000"/>
    <w:rsid w:val="00D366CB"/>
    <w:rsid w:val="00D44270"/>
    <w:rsid w:val="00D5078D"/>
    <w:rsid w:val="00D5514C"/>
    <w:rsid w:val="00D61A1C"/>
    <w:rsid w:val="00D74E0F"/>
    <w:rsid w:val="00D76C40"/>
    <w:rsid w:val="00D94778"/>
    <w:rsid w:val="00DA1C4C"/>
    <w:rsid w:val="00DA275D"/>
    <w:rsid w:val="00DB305B"/>
    <w:rsid w:val="00DB36CA"/>
    <w:rsid w:val="00DB483B"/>
    <w:rsid w:val="00DB6298"/>
    <w:rsid w:val="00DC1CF8"/>
    <w:rsid w:val="00DC4C6A"/>
    <w:rsid w:val="00DC4F62"/>
    <w:rsid w:val="00DF3A54"/>
    <w:rsid w:val="00E05541"/>
    <w:rsid w:val="00E10C19"/>
    <w:rsid w:val="00E22E21"/>
    <w:rsid w:val="00E36198"/>
    <w:rsid w:val="00E36F17"/>
    <w:rsid w:val="00E37247"/>
    <w:rsid w:val="00E506A2"/>
    <w:rsid w:val="00E520E2"/>
    <w:rsid w:val="00E54B0F"/>
    <w:rsid w:val="00E60306"/>
    <w:rsid w:val="00E70FE9"/>
    <w:rsid w:val="00E72A03"/>
    <w:rsid w:val="00E7339E"/>
    <w:rsid w:val="00E778EA"/>
    <w:rsid w:val="00E8175D"/>
    <w:rsid w:val="00E90A4D"/>
    <w:rsid w:val="00E93773"/>
    <w:rsid w:val="00E941A8"/>
    <w:rsid w:val="00E97F26"/>
    <w:rsid w:val="00E97F80"/>
    <w:rsid w:val="00EA11A3"/>
    <w:rsid w:val="00EB0393"/>
    <w:rsid w:val="00ED4DA5"/>
    <w:rsid w:val="00EE4D7B"/>
    <w:rsid w:val="00F14A7F"/>
    <w:rsid w:val="00F172EA"/>
    <w:rsid w:val="00F208F3"/>
    <w:rsid w:val="00F21651"/>
    <w:rsid w:val="00F236C0"/>
    <w:rsid w:val="00F30982"/>
    <w:rsid w:val="00F32654"/>
    <w:rsid w:val="00F33523"/>
    <w:rsid w:val="00F40E7B"/>
    <w:rsid w:val="00F42BA5"/>
    <w:rsid w:val="00F505A5"/>
    <w:rsid w:val="00F55F9D"/>
    <w:rsid w:val="00F62427"/>
    <w:rsid w:val="00F716E4"/>
    <w:rsid w:val="00F7514F"/>
    <w:rsid w:val="00F751FF"/>
    <w:rsid w:val="00F872D0"/>
    <w:rsid w:val="00FA25C7"/>
    <w:rsid w:val="00FA6906"/>
    <w:rsid w:val="00FA73DB"/>
    <w:rsid w:val="00FB0870"/>
    <w:rsid w:val="00FB3620"/>
    <w:rsid w:val="00FB6423"/>
    <w:rsid w:val="00FC19A4"/>
    <w:rsid w:val="00FC4CDB"/>
    <w:rsid w:val="00FE6E48"/>
    <w:rsid w:val="00FF2EB5"/>
    <w:rsid w:val="00FF5762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A5482"/>
  <w15:docId w15:val="{1D229178-D753-4C4B-ACC9-C004CEE8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327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327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2727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432727"/>
  </w:style>
  <w:style w:type="character" w:customStyle="1" w:styleId="PiedepginaCar">
    <w:name w:val="Pie de página Car"/>
    <w:basedOn w:val="Fuentedeprrafopredeter"/>
    <w:link w:val="Piedepgina"/>
    <w:rsid w:val="006320A0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530A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30A7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aliases w:val="Tablas Ok"/>
    <w:basedOn w:val="Normal"/>
    <w:uiPriority w:val="34"/>
    <w:qFormat/>
    <w:rsid w:val="00965C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2427"/>
    <w:rPr>
      <w:color w:val="0000FF"/>
      <w:u w:val="single"/>
    </w:rPr>
  </w:style>
  <w:style w:type="character" w:styleId="Hipervnculovisitado">
    <w:name w:val="FollowedHyperlink"/>
    <w:basedOn w:val="Fuentedeprrafopredeter"/>
    <w:rsid w:val="00DA2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4A52-9F8F-47AC-A472-A707E1E4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7</Pages>
  <Words>1697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Atlantico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Uniatlantico</dc:creator>
  <cp:lastModifiedBy>Rina Mastrodomenico Urbina</cp:lastModifiedBy>
  <cp:revision>136</cp:revision>
  <cp:lastPrinted>2017-11-17T19:41:00Z</cp:lastPrinted>
  <dcterms:created xsi:type="dcterms:W3CDTF">2017-09-18T20:49:00Z</dcterms:created>
  <dcterms:modified xsi:type="dcterms:W3CDTF">2017-12-19T14:11:00Z</dcterms:modified>
</cp:coreProperties>
</file>